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0B3" w:rsidRPr="000103A5" w:rsidRDefault="005E30B3" w:rsidP="00D86830">
      <w:pPr>
        <w:spacing w:after="0" w:line="240" w:lineRule="auto"/>
        <w:outlineLvl w:val="1"/>
        <w:rPr>
          <w:rFonts w:ascii="Calibri" w:hAnsi="Calibri" w:cs="Arial"/>
          <w:i/>
          <w:sz w:val="22"/>
          <w:lang w:eastAsia="de-CH"/>
        </w:rPr>
      </w:pPr>
      <w:r w:rsidRPr="000103A5">
        <w:rPr>
          <w:rFonts w:ascii="Calibri" w:hAnsi="Calibri" w:cs="Arial"/>
          <w:i/>
          <w:sz w:val="22"/>
          <w:lang w:eastAsia="de-CH"/>
        </w:rPr>
        <w:t>M</w:t>
      </w:r>
      <w:r>
        <w:rPr>
          <w:rFonts w:ascii="Calibri" w:hAnsi="Calibri" w:cs="Arial"/>
          <w:i/>
          <w:sz w:val="22"/>
          <w:lang w:eastAsia="de-CH"/>
        </w:rPr>
        <w:t>edienmitteilung</w:t>
      </w:r>
    </w:p>
    <w:p w:rsidR="005E30B3" w:rsidRPr="000103A5" w:rsidRDefault="005E30B3" w:rsidP="00D86830">
      <w:pPr>
        <w:spacing w:after="0" w:line="240" w:lineRule="auto"/>
        <w:outlineLvl w:val="1"/>
        <w:rPr>
          <w:rFonts w:ascii="Calibri" w:hAnsi="Calibri" w:cs="Arial"/>
          <w:b/>
          <w:szCs w:val="20"/>
          <w:lang w:eastAsia="de-CH"/>
        </w:rPr>
      </w:pPr>
    </w:p>
    <w:p w:rsidR="005E30B3" w:rsidRPr="000103A5" w:rsidRDefault="005E30B3" w:rsidP="00D86830">
      <w:pPr>
        <w:spacing w:after="0" w:line="240" w:lineRule="auto"/>
        <w:outlineLvl w:val="1"/>
        <w:rPr>
          <w:rFonts w:ascii="Calibri" w:hAnsi="Calibri" w:cs="Arial"/>
          <w:b/>
          <w:szCs w:val="20"/>
          <w:lang w:eastAsia="de-CH"/>
        </w:rPr>
      </w:pPr>
    </w:p>
    <w:p w:rsidR="005E30B3" w:rsidRPr="000103A5" w:rsidRDefault="005E30B3" w:rsidP="00D86830">
      <w:pPr>
        <w:spacing w:after="120" w:line="240" w:lineRule="auto"/>
        <w:outlineLvl w:val="1"/>
        <w:rPr>
          <w:rFonts w:ascii="Calibri" w:hAnsi="Calibri" w:cs="Arial"/>
          <w:b/>
          <w:sz w:val="22"/>
          <w:lang w:eastAsia="de-CH"/>
        </w:rPr>
      </w:pPr>
      <w:r>
        <w:rPr>
          <w:rFonts w:ascii="Calibri" w:hAnsi="Calibri" w:cs="Arial"/>
          <w:b/>
          <w:sz w:val="22"/>
          <w:lang w:eastAsia="de-CH"/>
        </w:rPr>
        <w:t>Generalversammlung Reka vom 24. April 2015</w:t>
      </w:r>
      <w:r w:rsidRPr="000103A5">
        <w:rPr>
          <w:rFonts w:ascii="Calibri" w:hAnsi="Calibri" w:cs="Arial"/>
          <w:b/>
          <w:sz w:val="22"/>
          <w:lang w:eastAsia="de-CH"/>
        </w:rPr>
        <w:t xml:space="preserve"> in </w:t>
      </w:r>
      <w:r>
        <w:rPr>
          <w:rFonts w:ascii="Calibri" w:hAnsi="Calibri" w:cs="Arial"/>
          <w:b/>
          <w:sz w:val="22"/>
          <w:lang w:eastAsia="de-CH"/>
        </w:rPr>
        <w:t>Thun</w:t>
      </w:r>
    </w:p>
    <w:p w:rsidR="005E30B3" w:rsidRDefault="005E30B3" w:rsidP="00D86830">
      <w:pPr>
        <w:spacing w:after="0" w:line="240" w:lineRule="auto"/>
        <w:outlineLvl w:val="0"/>
        <w:rPr>
          <w:rFonts w:ascii="Calibri" w:hAnsi="Calibri" w:cs="Arial"/>
          <w:b/>
          <w:bCs/>
          <w:kern w:val="36"/>
          <w:sz w:val="26"/>
          <w:szCs w:val="26"/>
          <w:lang w:eastAsia="de-CH"/>
        </w:rPr>
      </w:pPr>
      <w:r>
        <w:rPr>
          <w:rFonts w:ascii="Calibri" w:hAnsi="Calibri" w:cs="Arial"/>
          <w:b/>
          <w:bCs/>
          <w:kern w:val="36"/>
          <w:sz w:val="26"/>
          <w:szCs w:val="26"/>
          <w:lang w:eastAsia="de-CH"/>
        </w:rPr>
        <w:t>Erfreuliches Geschäftsjahr 2014.</w:t>
      </w:r>
    </w:p>
    <w:p w:rsidR="005E30B3" w:rsidRPr="000103A5" w:rsidRDefault="005E30B3" w:rsidP="00D86830">
      <w:pPr>
        <w:spacing w:after="0" w:line="240" w:lineRule="auto"/>
        <w:outlineLvl w:val="0"/>
        <w:rPr>
          <w:rFonts w:ascii="Calibri" w:hAnsi="Calibri" w:cs="Arial"/>
          <w:b/>
          <w:bCs/>
          <w:kern w:val="36"/>
          <w:sz w:val="26"/>
          <w:szCs w:val="26"/>
          <w:lang w:eastAsia="de-CH"/>
        </w:rPr>
      </w:pPr>
      <w:r>
        <w:rPr>
          <w:rFonts w:ascii="Calibri" w:hAnsi="Calibri" w:cs="Arial"/>
          <w:b/>
          <w:bCs/>
          <w:kern w:val="36"/>
          <w:sz w:val="26"/>
          <w:szCs w:val="26"/>
          <w:lang w:eastAsia="de-CH"/>
        </w:rPr>
        <w:t>Mit neuen Produkten gegen den Frankenschock.</w:t>
      </w:r>
    </w:p>
    <w:p w:rsidR="005E30B3" w:rsidRPr="000103A5" w:rsidRDefault="005E30B3" w:rsidP="00D86830">
      <w:pPr>
        <w:spacing w:after="0" w:line="240" w:lineRule="auto"/>
        <w:outlineLvl w:val="0"/>
        <w:rPr>
          <w:rFonts w:ascii="Calibri" w:hAnsi="Calibri" w:cs="Arial"/>
          <w:bCs/>
          <w:kern w:val="36"/>
          <w:sz w:val="26"/>
          <w:szCs w:val="26"/>
          <w:lang w:eastAsia="de-CH"/>
        </w:rPr>
      </w:pPr>
    </w:p>
    <w:p w:rsidR="005E30B3" w:rsidRPr="002137C9" w:rsidRDefault="005E30B3" w:rsidP="003D1DFD">
      <w:pPr>
        <w:spacing w:after="0" w:line="240" w:lineRule="auto"/>
        <w:rPr>
          <w:rFonts w:ascii="Calibri" w:hAnsi="Calibri"/>
          <w:b/>
          <w:sz w:val="24"/>
        </w:rPr>
      </w:pPr>
      <w:bookmarkStart w:id="0" w:name="_GoBack"/>
      <w:bookmarkEnd w:id="0"/>
      <w:r w:rsidRPr="002137C9">
        <w:rPr>
          <w:rFonts w:ascii="Calibri" w:hAnsi="Calibri"/>
          <w:b/>
          <w:sz w:val="24"/>
        </w:rPr>
        <w:t xml:space="preserve">Das Verkaufsvolumen von Reka-Geld erreichte im Jahr 2014 erneut einen Rekordwert. Die Genossenschaft lancierte mit der Reka-Lunch-Card und dem Reka-Feriendorf </w:t>
      </w:r>
    </w:p>
    <w:p w:rsidR="008272C7" w:rsidRDefault="005E30B3" w:rsidP="002137C9">
      <w:pPr>
        <w:spacing w:after="0" w:line="240" w:lineRule="auto"/>
        <w:ind w:right="-30"/>
        <w:rPr>
          <w:rFonts w:ascii="Calibri" w:hAnsi="Calibri"/>
          <w:b/>
          <w:sz w:val="24"/>
        </w:rPr>
      </w:pPr>
      <w:r w:rsidRPr="002137C9">
        <w:rPr>
          <w:rFonts w:ascii="Calibri" w:hAnsi="Calibri"/>
          <w:b/>
          <w:sz w:val="24"/>
        </w:rPr>
        <w:t xml:space="preserve">Blatten-Belalp </w:t>
      </w:r>
      <w:r>
        <w:rPr>
          <w:rFonts w:ascii="Calibri" w:hAnsi="Calibri"/>
          <w:b/>
          <w:sz w:val="24"/>
        </w:rPr>
        <w:t xml:space="preserve">zudem </w:t>
      </w:r>
      <w:r w:rsidRPr="002137C9">
        <w:rPr>
          <w:rFonts w:ascii="Calibri" w:hAnsi="Calibri"/>
          <w:b/>
          <w:sz w:val="24"/>
        </w:rPr>
        <w:t xml:space="preserve">erfolgreich zwei innovative und vielversprechende Produkte. </w:t>
      </w:r>
    </w:p>
    <w:p w:rsidR="005E30B3" w:rsidRPr="002137C9" w:rsidRDefault="005E30B3" w:rsidP="002137C9">
      <w:pPr>
        <w:spacing w:after="0" w:line="240" w:lineRule="auto"/>
        <w:ind w:right="-30"/>
        <w:rPr>
          <w:rFonts w:ascii="Calibri" w:hAnsi="Calibri"/>
          <w:b/>
          <w:sz w:val="24"/>
        </w:rPr>
      </w:pPr>
      <w:r w:rsidRPr="002137C9">
        <w:rPr>
          <w:rFonts w:ascii="Calibri" w:hAnsi="Calibri"/>
          <w:b/>
          <w:sz w:val="24"/>
        </w:rPr>
        <w:t xml:space="preserve">Die Aufhebung </w:t>
      </w:r>
      <w:r>
        <w:rPr>
          <w:rFonts w:ascii="Calibri" w:hAnsi="Calibri"/>
          <w:b/>
          <w:sz w:val="24"/>
        </w:rPr>
        <w:t>d</w:t>
      </w:r>
      <w:r w:rsidRPr="002137C9">
        <w:rPr>
          <w:rFonts w:ascii="Calibri" w:hAnsi="Calibri"/>
          <w:b/>
          <w:sz w:val="24"/>
        </w:rPr>
        <w:t>es Euro</w:t>
      </w:r>
      <w:r w:rsidR="00DE1A6E">
        <w:rPr>
          <w:rFonts w:ascii="Calibri" w:hAnsi="Calibri"/>
          <w:b/>
          <w:sz w:val="24"/>
        </w:rPr>
        <w:t>-M</w:t>
      </w:r>
      <w:r w:rsidRPr="002137C9">
        <w:rPr>
          <w:rFonts w:ascii="Calibri" w:hAnsi="Calibri"/>
          <w:b/>
          <w:sz w:val="24"/>
        </w:rPr>
        <w:t xml:space="preserve">indestkurses </w:t>
      </w:r>
      <w:r>
        <w:rPr>
          <w:rFonts w:ascii="Calibri" w:hAnsi="Calibri"/>
          <w:b/>
          <w:sz w:val="24"/>
        </w:rPr>
        <w:t xml:space="preserve">im Januar dieses Jahres </w:t>
      </w:r>
      <w:r w:rsidRPr="002137C9">
        <w:rPr>
          <w:rFonts w:ascii="Calibri" w:hAnsi="Calibri"/>
          <w:b/>
          <w:sz w:val="24"/>
        </w:rPr>
        <w:t xml:space="preserve">zog einen spürbaren Buchungsrückgang für Ferien in der Schweiz nach sich, der bis Ende des 1. Quartals 2015 </w:t>
      </w:r>
      <w:r>
        <w:rPr>
          <w:rFonts w:ascii="Calibri" w:hAnsi="Calibri"/>
          <w:b/>
          <w:sz w:val="24"/>
        </w:rPr>
        <w:t xml:space="preserve"> bereits weitgehend wieder </w:t>
      </w:r>
      <w:r w:rsidRPr="002137C9">
        <w:rPr>
          <w:rFonts w:ascii="Calibri" w:hAnsi="Calibri"/>
          <w:b/>
          <w:sz w:val="24"/>
        </w:rPr>
        <w:t xml:space="preserve">kompensiert werden konnte. </w:t>
      </w:r>
    </w:p>
    <w:p w:rsidR="005E30B3" w:rsidRDefault="005E30B3" w:rsidP="00D86830">
      <w:pPr>
        <w:spacing w:after="0" w:line="240" w:lineRule="auto"/>
        <w:rPr>
          <w:rFonts w:ascii="Calibri" w:hAnsi="Calibri" w:cs="Arial"/>
          <w:b/>
          <w:bCs/>
          <w:sz w:val="22"/>
          <w:lang w:eastAsia="de-CH"/>
        </w:rPr>
      </w:pPr>
    </w:p>
    <w:p w:rsidR="005E30B3" w:rsidRPr="00553227" w:rsidRDefault="005E30B3" w:rsidP="00E76BD1">
      <w:pPr>
        <w:spacing w:after="0" w:line="240" w:lineRule="auto"/>
        <w:rPr>
          <w:rFonts w:ascii="Calibri" w:hAnsi="Calibri" w:cs="Arial"/>
          <w:b/>
          <w:sz w:val="22"/>
          <w:lang w:eastAsia="de-CH"/>
        </w:rPr>
      </w:pPr>
      <w:r w:rsidRPr="00553227">
        <w:rPr>
          <w:rFonts w:ascii="Calibri" w:hAnsi="Calibri" w:cs="Arial"/>
          <w:b/>
          <w:sz w:val="22"/>
          <w:lang w:eastAsia="de-CH"/>
        </w:rPr>
        <w:t xml:space="preserve">Reka-Geld: </w:t>
      </w:r>
      <w:r>
        <w:rPr>
          <w:rFonts w:ascii="Calibri" w:hAnsi="Calibri" w:cs="Arial"/>
          <w:b/>
          <w:sz w:val="22"/>
          <w:lang w:eastAsia="de-CH"/>
        </w:rPr>
        <w:t>Trend zu bargeldlos und Vollservice-Abgabemodellen für Arbeitgeber</w:t>
      </w:r>
    </w:p>
    <w:p w:rsidR="005E30B3" w:rsidRPr="00E76BD1" w:rsidRDefault="005E30B3" w:rsidP="00E76BD1">
      <w:pPr>
        <w:spacing w:after="0" w:line="240" w:lineRule="auto"/>
        <w:rPr>
          <w:rFonts w:ascii="Calibri" w:hAnsi="Calibri" w:cs="Arial"/>
          <w:sz w:val="22"/>
          <w:lang w:eastAsia="de-CH"/>
        </w:rPr>
      </w:pPr>
      <w:r w:rsidRPr="00E76BD1">
        <w:rPr>
          <w:rFonts w:ascii="Calibri" w:hAnsi="Calibri" w:cs="Arial"/>
          <w:sz w:val="22"/>
          <w:lang w:eastAsia="de-CH"/>
        </w:rPr>
        <w:t xml:space="preserve">Die Nachfrage nach Reka-Geld-Produkten stieg auch 2014. Sie erreichte den Rekordwert von 679 Mio. </w:t>
      </w:r>
      <w:r>
        <w:rPr>
          <w:rFonts w:ascii="Calibri" w:hAnsi="Calibri" w:cs="Arial"/>
          <w:sz w:val="22"/>
          <w:lang w:eastAsia="de-CH"/>
        </w:rPr>
        <w:t xml:space="preserve">CHF </w:t>
      </w:r>
      <w:r w:rsidRPr="00E76BD1">
        <w:rPr>
          <w:rFonts w:ascii="Calibri" w:hAnsi="Calibri" w:cs="Arial"/>
          <w:sz w:val="22"/>
          <w:lang w:eastAsia="de-CH"/>
        </w:rPr>
        <w:t>(+2 %). Treiber dieser Entwicklung war</w:t>
      </w:r>
      <w:r>
        <w:rPr>
          <w:rFonts w:ascii="Calibri" w:hAnsi="Calibri" w:cs="Arial"/>
          <w:sz w:val="22"/>
          <w:lang w:eastAsia="de-CH"/>
        </w:rPr>
        <w:t xml:space="preserve">en der starke Verkauf über den Abgabekanal Coop sowie die erfreuliche Entwicklung des Produktes Reka </w:t>
      </w:r>
      <w:proofErr w:type="spellStart"/>
      <w:r>
        <w:rPr>
          <w:rFonts w:ascii="Calibri" w:hAnsi="Calibri" w:cs="Arial"/>
          <w:sz w:val="22"/>
          <w:lang w:eastAsia="de-CH"/>
        </w:rPr>
        <w:t>Rail</w:t>
      </w:r>
      <w:proofErr w:type="spellEnd"/>
      <w:r>
        <w:rPr>
          <w:rFonts w:ascii="Calibri" w:hAnsi="Calibri" w:cs="Arial"/>
          <w:sz w:val="22"/>
          <w:lang w:eastAsia="de-CH"/>
        </w:rPr>
        <w:t xml:space="preserve">. Die Verlagerung auf das </w:t>
      </w:r>
      <w:r w:rsidRPr="00E76BD1">
        <w:rPr>
          <w:rFonts w:ascii="Calibri" w:hAnsi="Calibri" w:cs="Arial"/>
          <w:sz w:val="22"/>
          <w:lang w:eastAsia="de-CH"/>
        </w:rPr>
        <w:t>barge</w:t>
      </w:r>
      <w:r>
        <w:rPr>
          <w:rFonts w:ascii="Calibri" w:hAnsi="Calibri" w:cs="Arial"/>
          <w:sz w:val="22"/>
          <w:lang w:eastAsia="de-CH"/>
        </w:rPr>
        <w:t xml:space="preserve">ldlose Geschäft mit dem Produkt </w:t>
      </w:r>
      <w:r w:rsidRPr="00E76BD1">
        <w:rPr>
          <w:rFonts w:ascii="Calibri" w:hAnsi="Calibri" w:cs="Arial"/>
          <w:sz w:val="22"/>
          <w:lang w:eastAsia="de-CH"/>
        </w:rPr>
        <w:t>Reka-Card</w:t>
      </w:r>
      <w:r>
        <w:rPr>
          <w:rFonts w:ascii="Calibri" w:hAnsi="Calibri" w:cs="Arial"/>
          <w:sz w:val="22"/>
          <w:lang w:eastAsia="de-CH"/>
        </w:rPr>
        <w:t xml:space="preserve"> setzte sich mit 14 % Zuwachs weiter fort</w:t>
      </w:r>
      <w:r w:rsidRPr="00E76BD1">
        <w:rPr>
          <w:rFonts w:ascii="Calibri" w:hAnsi="Calibri" w:cs="Arial"/>
          <w:sz w:val="22"/>
          <w:lang w:eastAsia="de-CH"/>
        </w:rPr>
        <w:t xml:space="preserve">. </w:t>
      </w:r>
      <w:r>
        <w:rPr>
          <w:rFonts w:ascii="Calibri" w:hAnsi="Calibri" w:cs="Arial"/>
          <w:sz w:val="22"/>
          <w:lang w:eastAsia="de-CH"/>
        </w:rPr>
        <w:t>Weil auch die Anzahl der Akzeptanzstellen um 5 % zunahm, verbesserte sich die Gesamtattraktivität von Reka-Geld für die Kunden weiter. Bei den Abgabemodellen für Arbeitgeber setzt sich das durch Reka angebotene Vollservice</w:t>
      </w:r>
      <w:r w:rsidR="00DE1A6E">
        <w:rPr>
          <w:rFonts w:ascii="Calibri" w:hAnsi="Calibri" w:cs="Arial"/>
          <w:sz w:val="22"/>
          <w:lang w:eastAsia="de-CH"/>
        </w:rPr>
        <w:t>m</w:t>
      </w:r>
      <w:r>
        <w:rPr>
          <w:rFonts w:ascii="Calibri" w:hAnsi="Calibri" w:cs="Arial"/>
          <w:sz w:val="22"/>
          <w:lang w:eastAsia="de-CH"/>
        </w:rPr>
        <w:t>odell immer mehr durch: Reka übernimmt hier von den Arbeitgebern, die Reka-Geld als Lohnnebenleistungen vergünstigen, die gesamte Verkaufs- und Distributions</w:t>
      </w:r>
      <w:r w:rsidR="00DE1A6E">
        <w:rPr>
          <w:rFonts w:ascii="Calibri" w:hAnsi="Calibri" w:cs="Arial"/>
          <w:sz w:val="22"/>
          <w:lang w:eastAsia="de-CH"/>
        </w:rPr>
        <w:t>a</w:t>
      </w:r>
      <w:r>
        <w:rPr>
          <w:rFonts w:ascii="Calibri" w:hAnsi="Calibri" w:cs="Arial"/>
          <w:sz w:val="22"/>
          <w:lang w:eastAsia="de-CH"/>
        </w:rPr>
        <w:t xml:space="preserve">bwicklung. Mit einem Zuwachs von 3,5 % erreichte dieses Modell 65 % des Verkaufs an Mitarbeitende. </w:t>
      </w:r>
    </w:p>
    <w:p w:rsidR="005E30B3" w:rsidRPr="00E76BD1" w:rsidRDefault="005E30B3" w:rsidP="00D86830">
      <w:pPr>
        <w:spacing w:after="0" w:line="240" w:lineRule="auto"/>
        <w:rPr>
          <w:rFonts w:ascii="Calibri" w:hAnsi="Calibri" w:cs="Arial"/>
          <w:sz w:val="22"/>
          <w:lang w:eastAsia="de-CH"/>
        </w:rPr>
      </w:pPr>
    </w:p>
    <w:p w:rsidR="005E30B3" w:rsidRPr="00E123A5" w:rsidRDefault="005E30B3" w:rsidP="00D86830">
      <w:pPr>
        <w:spacing w:after="0" w:line="240" w:lineRule="auto"/>
        <w:outlineLvl w:val="4"/>
        <w:rPr>
          <w:rFonts w:ascii="Calibri" w:hAnsi="Calibri" w:cs="Arial"/>
          <w:b/>
          <w:bCs/>
          <w:sz w:val="22"/>
          <w:lang w:eastAsia="de-CH"/>
        </w:rPr>
      </w:pPr>
      <w:r w:rsidRPr="00E123A5">
        <w:rPr>
          <w:rFonts w:ascii="Calibri" w:hAnsi="Calibri" w:cs="Arial"/>
          <w:b/>
          <w:bCs/>
          <w:sz w:val="22"/>
          <w:lang w:eastAsia="de-CH"/>
        </w:rPr>
        <w:t xml:space="preserve">Reka-Ferien: </w:t>
      </w:r>
      <w:r w:rsidR="00DE1A6E">
        <w:rPr>
          <w:rFonts w:ascii="Calibri" w:hAnsi="Calibri" w:cs="Arial"/>
          <w:b/>
          <w:bCs/>
          <w:sz w:val="22"/>
          <w:lang w:eastAsia="de-CH"/>
        </w:rPr>
        <w:t>k</w:t>
      </w:r>
      <w:r>
        <w:rPr>
          <w:rFonts w:ascii="Calibri" w:hAnsi="Calibri" w:cs="Arial"/>
          <w:b/>
          <w:bCs/>
          <w:sz w:val="22"/>
          <w:lang w:eastAsia="de-CH"/>
        </w:rPr>
        <w:t>onsequente Portfoliobereinigung und Reka-Feriendörfer mit Mehrumsatz</w:t>
      </w:r>
    </w:p>
    <w:p w:rsidR="005E30B3" w:rsidRDefault="005E30B3" w:rsidP="00C73DDF">
      <w:pPr>
        <w:spacing w:line="240" w:lineRule="auto"/>
        <w:ind w:right="-28"/>
        <w:rPr>
          <w:rFonts w:ascii="Calibri" w:hAnsi="Calibri"/>
          <w:sz w:val="22"/>
        </w:rPr>
      </w:pPr>
      <w:r>
        <w:rPr>
          <w:rFonts w:ascii="Calibri" w:hAnsi="Calibri"/>
          <w:sz w:val="22"/>
        </w:rPr>
        <w:t>Insgesamt durfte sich Reka auch 2014 über eine im Marktvergleich sehr hohe Auslastung freuen. Bei den Reka-Feriendörfern in der Schweiz, dem Schlüsselprodukt der Reka, lag diese im Durchschnitt bei 213 Besetzungstagen oder 70 % der verfügbaren Wohnungen. Insgesamt sanken die Vermietungserträge in der Schweiz und i</w:t>
      </w:r>
      <w:r>
        <w:rPr>
          <w:rFonts w:ascii="Calibri" w:hAnsi="Calibri" w:cs="Arial"/>
          <w:sz w:val="22"/>
          <w:lang w:eastAsia="de-CH"/>
        </w:rPr>
        <w:t xml:space="preserve">m Ausland </w:t>
      </w:r>
      <w:r>
        <w:rPr>
          <w:rFonts w:ascii="Calibri" w:hAnsi="Calibri"/>
          <w:sz w:val="22"/>
        </w:rPr>
        <w:t>um 6,2 % auf 31,6 Mio</w:t>
      </w:r>
      <w:r w:rsidR="00DE1A6E">
        <w:rPr>
          <w:rFonts w:ascii="Calibri" w:hAnsi="Calibri"/>
          <w:sz w:val="22"/>
        </w:rPr>
        <w:t>. CHF</w:t>
      </w:r>
      <w:r>
        <w:rPr>
          <w:rFonts w:ascii="Calibri" w:hAnsi="Calibri"/>
          <w:sz w:val="22"/>
        </w:rPr>
        <w:t xml:space="preserve">. Dieser Rückgang ist das Resultat einer konsequenten Bereinigung des Angebotsportfolios. Obwohl die Zahl der angebotenen Ferienunterkünfte in der Schweiz um 12 % und im Ausland sogar um 25 % reduziert wurde, ging der Vermietungsertrag in der Schweiz lediglich um 5,6 % und im Ausland um 8,7 % zurück. Der Ertrag pro Wohnung stieg. Im Schlüsselprodukt, den Reka-Feriendörfern, nahm der Vermietungsertrag trotz der teilweisen renovations-bedingten Schliessung einer Anlage um 1,7 % zu. Die einzige Ferienanlage in Reka-Eigentum im Ausland, </w:t>
      </w:r>
      <w:proofErr w:type="spellStart"/>
      <w:r>
        <w:rPr>
          <w:rFonts w:ascii="Calibri" w:hAnsi="Calibri"/>
          <w:sz w:val="22"/>
        </w:rPr>
        <w:t>Golfo</w:t>
      </w:r>
      <w:proofErr w:type="spellEnd"/>
      <w:r>
        <w:rPr>
          <w:rFonts w:ascii="Calibri" w:hAnsi="Calibri"/>
          <w:sz w:val="22"/>
        </w:rPr>
        <w:t xml:space="preserve"> del Sole in der </w:t>
      </w:r>
      <w:proofErr w:type="spellStart"/>
      <w:r>
        <w:rPr>
          <w:rFonts w:ascii="Calibri" w:hAnsi="Calibri"/>
          <w:sz w:val="22"/>
        </w:rPr>
        <w:t>Toscana</w:t>
      </w:r>
      <w:proofErr w:type="spellEnd"/>
      <w:r>
        <w:rPr>
          <w:rFonts w:ascii="Calibri" w:hAnsi="Calibri"/>
          <w:sz w:val="22"/>
        </w:rPr>
        <w:t xml:space="preserve">, erreichte einen Rekordumsatz. </w:t>
      </w:r>
    </w:p>
    <w:p w:rsidR="005E30B3" w:rsidRDefault="005E30B3" w:rsidP="00651B55">
      <w:pPr>
        <w:spacing w:line="240" w:lineRule="auto"/>
        <w:rPr>
          <w:rFonts w:ascii="Calibri" w:hAnsi="Calibri" w:cs="Arial"/>
          <w:bCs/>
          <w:color w:val="000000"/>
          <w:sz w:val="22"/>
          <w:lang w:eastAsia="de-CH"/>
        </w:rPr>
      </w:pPr>
      <w:r>
        <w:rPr>
          <w:rFonts w:ascii="Calibri" w:hAnsi="Calibri" w:cs="Arial"/>
          <w:b/>
          <w:bCs/>
          <w:color w:val="000000"/>
          <w:sz w:val="22"/>
          <w:lang w:eastAsia="de-CH"/>
        </w:rPr>
        <w:t>Neue Produkte Reka-Lunch-Card und Feriendorf Blatten-Belalp vom Markt gut aufgenommen</w:t>
      </w:r>
      <w:r>
        <w:rPr>
          <w:rFonts w:ascii="Calibri" w:hAnsi="Calibri" w:cs="Arial"/>
          <w:b/>
          <w:bCs/>
          <w:color w:val="000000"/>
          <w:sz w:val="22"/>
          <w:lang w:eastAsia="de-CH"/>
        </w:rPr>
        <w:br/>
      </w:r>
      <w:r>
        <w:rPr>
          <w:rFonts w:ascii="Calibri" w:hAnsi="Calibri" w:cs="Arial"/>
          <w:bCs/>
          <w:color w:val="000000"/>
          <w:sz w:val="22"/>
          <w:lang w:eastAsia="de-CH"/>
        </w:rPr>
        <w:t>Mit der Reka-Lunch-Card trat Reka Ende 2014 in den Markt der durch Arbeitgeber vergünstigten Mitarbeiterverpflegung ein. Das innovative Produkt hat die Erwartungen in der Startphase übertroffen. Das bargeldlose Produkt hat gegenüber den heute auf dem Markt vorhandenen Wertgutscheinen entscheidende Vorteile, indem die Card sowohl für die Benützer</w:t>
      </w:r>
      <w:r w:rsidR="00DE1A6E">
        <w:rPr>
          <w:rFonts w:ascii="Calibri" w:hAnsi="Calibri" w:cs="Arial"/>
          <w:bCs/>
          <w:color w:val="000000"/>
          <w:sz w:val="22"/>
          <w:lang w:eastAsia="de-CH"/>
        </w:rPr>
        <w:t xml:space="preserve"> </w:t>
      </w:r>
      <w:r>
        <w:rPr>
          <w:rFonts w:ascii="Calibri" w:hAnsi="Calibri" w:cs="Arial"/>
          <w:bCs/>
          <w:color w:val="000000"/>
          <w:sz w:val="22"/>
          <w:lang w:eastAsia="de-CH"/>
        </w:rPr>
        <w:t xml:space="preserve">als auch </w:t>
      </w:r>
      <w:r w:rsidR="00DE1A6E">
        <w:rPr>
          <w:rFonts w:ascii="Calibri" w:hAnsi="Calibri" w:cs="Arial"/>
          <w:bCs/>
          <w:color w:val="000000"/>
          <w:sz w:val="22"/>
          <w:lang w:eastAsia="de-CH"/>
        </w:rPr>
        <w:t xml:space="preserve">für </w:t>
      </w:r>
      <w:proofErr w:type="gramStart"/>
      <w:r>
        <w:rPr>
          <w:rFonts w:ascii="Calibri" w:hAnsi="Calibri" w:cs="Arial"/>
          <w:bCs/>
          <w:color w:val="000000"/>
          <w:sz w:val="22"/>
          <w:lang w:eastAsia="de-CH"/>
        </w:rPr>
        <w:t>die</w:t>
      </w:r>
      <w:proofErr w:type="gramEnd"/>
      <w:r>
        <w:rPr>
          <w:rFonts w:ascii="Calibri" w:hAnsi="Calibri" w:cs="Arial"/>
          <w:bCs/>
          <w:color w:val="000000"/>
          <w:sz w:val="22"/>
          <w:lang w:eastAsia="de-CH"/>
        </w:rPr>
        <w:t xml:space="preserve"> </w:t>
      </w:r>
      <w:r w:rsidR="00DE1A6E">
        <w:rPr>
          <w:rFonts w:ascii="Calibri" w:hAnsi="Calibri" w:cs="Arial"/>
          <w:bCs/>
          <w:color w:val="000000"/>
          <w:sz w:val="22"/>
          <w:lang w:eastAsia="de-CH"/>
        </w:rPr>
        <w:t xml:space="preserve">Reka-Lunch </w:t>
      </w:r>
      <w:r>
        <w:rPr>
          <w:rFonts w:ascii="Calibri" w:hAnsi="Calibri" w:cs="Arial"/>
          <w:bCs/>
          <w:color w:val="000000"/>
          <w:sz w:val="22"/>
          <w:lang w:eastAsia="de-CH"/>
        </w:rPr>
        <w:t xml:space="preserve">abgebenden Arbeitgeber und die einlösenden Gastronomiebetriebe Abläufe vereinfacht und Convenience schafft. Nach dem erfolgreichen Pilotbetrieb mit der Flughafen Zürich AG wird das Produkt bereits bei weiteren Unternehmen eingeführt. </w:t>
      </w:r>
    </w:p>
    <w:p w:rsidR="005E30B3" w:rsidRDefault="005E30B3" w:rsidP="00651B55">
      <w:pPr>
        <w:spacing w:line="240" w:lineRule="auto"/>
        <w:rPr>
          <w:rFonts w:ascii="Calibri" w:hAnsi="Calibri" w:cs="Arial"/>
          <w:bCs/>
          <w:color w:val="000000"/>
          <w:sz w:val="22"/>
          <w:lang w:eastAsia="de-CH"/>
        </w:rPr>
      </w:pPr>
      <w:r>
        <w:rPr>
          <w:rFonts w:ascii="Calibri" w:hAnsi="Calibri" w:cs="Arial"/>
          <w:bCs/>
          <w:color w:val="000000"/>
          <w:sz w:val="22"/>
          <w:lang w:eastAsia="de-CH"/>
        </w:rPr>
        <w:t>Das neue Reka-Feriendorf Blatten-Belalp bestand</w:t>
      </w:r>
      <w:r w:rsidR="00DE1A6E">
        <w:rPr>
          <w:rFonts w:ascii="Calibri" w:hAnsi="Calibri" w:cs="Arial"/>
          <w:bCs/>
          <w:color w:val="000000"/>
          <w:sz w:val="22"/>
          <w:lang w:eastAsia="de-CH"/>
        </w:rPr>
        <w:t xml:space="preserve"> die Prüfung</w:t>
      </w:r>
      <w:r>
        <w:rPr>
          <w:rFonts w:ascii="Calibri" w:hAnsi="Calibri" w:cs="Arial"/>
          <w:bCs/>
          <w:color w:val="000000"/>
          <w:sz w:val="22"/>
          <w:lang w:eastAsia="de-CH"/>
        </w:rPr>
        <w:t xml:space="preserve"> seine</w:t>
      </w:r>
      <w:r w:rsidR="00DE1A6E">
        <w:rPr>
          <w:rFonts w:ascii="Calibri" w:hAnsi="Calibri" w:cs="Arial"/>
          <w:bCs/>
          <w:color w:val="000000"/>
          <w:sz w:val="22"/>
          <w:lang w:eastAsia="de-CH"/>
        </w:rPr>
        <w:t>r</w:t>
      </w:r>
      <w:r>
        <w:rPr>
          <w:rFonts w:ascii="Calibri" w:hAnsi="Calibri" w:cs="Arial"/>
          <w:bCs/>
          <w:color w:val="000000"/>
          <w:sz w:val="22"/>
          <w:lang w:eastAsia="de-CH"/>
        </w:rPr>
        <w:t xml:space="preserve"> erste</w:t>
      </w:r>
      <w:r w:rsidR="00DE1A6E">
        <w:rPr>
          <w:rFonts w:ascii="Calibri" w:hAnsi="Calibri" w:cs="Arial"/>
          <w:bCs/>
          <w:color w:val="000000"/>
          <w:sz w:val="22"/>
          <w:lang w:eastAsia="de-CH"/>
        </w:rPr>
        <w:t>n</w:t>
      </w:r>
      <w:r>
        <w:rPr>
          <w:rFonts w:ascii="Calibri" w:hAnsi="Calibri" w:cs="Arial"/>
          <w:bCs/>
          <w:color w:val="000000"/>
          <w:sz w:val="22"/>
          <w:lang w:eastAsia="de-CH"/>
        </w:rPr>
        <w:t xml:space="preserve"> Wintersaison mit über 70 % Auslastung trotz eines schwierigen Umfeldes sehr gut. Die moderne Ferienanlage ist auf die aktuellsten </w:t>
      </w:r>
      <w:r>
        <w:rPr>
          <w:rFonts w:ascii="Calibri" w:hAnsi="Calibri" w:cs="Arial"/>
          <w:bCs/>
          <w:color w:val="000000"/>
          <w:sz w:val="22"/>
          <w:lang w:eastAsia="de-CH"/>
        </w:rPr>
        <w:lastRenderedPageBreak/>
        <w:t>Bedürfnisse des Familientourismus  ausgerichtet. Aufgrund des einzigartigen Energiekonzeptes hat das Bundesamt für Energie das Feriendorf als Leuchtturmprojekt ausgezeichnet.</w:t>
      </w:r>
    </w:p>
    <w:p w:rsidR="005E30B3" w:rsidRDefault="005E30B3" w:rsidP="00651B55">
      <w:pPr>
        <w:spacing w:line="240" w:lineRule="auto"/>
        <w:rPr>
          <w:rFonts w:ascii="Calibri" w:hAnsi="Calibri" w:cs="Arial"/>
          <w:bCs/>
          <w:color w:val="000000"/>
          <w:sz w:val="22"/>
          <w:lang w:eastAsia="de-CH"/>
        </w:rPr>
      </w:pPr>
      <w:r>
        <w:rPr>
          <w:rFonts w:ascii="Calibri" w:hAnsi="Calibri" w:cs="Arial"/>
          <w:b/>
          <w:bCs/>
          <w:color w:val="000000"/>
          <w:sz w:val="22"/>
          <w:lang w:eastAsia="de-CH"/>
        </w:rPr>
        <w:t>V</w:t>
      </w:r>
      <w:r w:rsidRPr="00651B55">
        <w:rPr>
          <w:rFonts w:ascii="Calibri" w:hAnsi="Calibri" w:cs="Arial"/>
          <w:b/>
          <w:bCs/>
          <w:color w:val="000000"/>
          <w:sz w:val="22"/>
          <w:lang w:eastAsia="de-CH"/>
        </w:rPr>
        <w:t>erbessertes Betriebsergebnis</w:t>
      </w:r>
      <w:r w:rsidRPr="00651B55">
        <w:rPr>
          <w:rFonts w:ascii="Calibri" w:hAnsi="Calibri" w:cs="Arial"/>
          <w:b/>
          <w:bCs/>
          <w:color w:val="000000"/>
          <w:sz w:val="22"/>
          <w:lang w:eastAsia="de-CH"/>
        </w:rPr>
        <w:br/>
      </w:r>
      <w:r>
        <w:rPr>
          <w:rFonts w:ascii="Calibri" w:hAnsi="Calibri" w:cs="Arial"/>
          <w:bCs/>
          <w:color w:val="000000"/>
          <w:sz w:val="22"/>
          <w:lang w:eastAsia="de-CH"/>
        </w:rPr>
        <w:t xml:space="preserve">Bedingt durch die Portfoliobereinigung im Geschäftsfeld Reka-Ferien ist der Gesamtertrag 2014 mit </w:t>
      </w:r>
      <w:r>
        <w:rPr>
          <w:rFonts w:ascii="Calibri" w:hAnsi="Calibri" w:cs="Arial"/>
          <w:bCs/>
          <w:color w:val="000000"/>
          <w:sz w:val="22"/>
          <w:lang w:eastAsia="de-CH"/>
        </w:rPr>
        <w:br/>
        <w:t>74,4 Mio. CHF leicht rückläufig. Ihm steht ein deutlich verbessertes Betriebsergebnis von 6,2 Mio.</w:t>
      </w:r>
      <w:r w:rsidR="00DE1A6E">
        <w:rPr>
          <w:rFonts w:ascii="Calibri" w:hAnsi="Calibri" w:cs="Arial"/>
          <w:bCs/>
          <w:color w:val="000000"/>
          <w:sz w:val="22"/>
          <w:lang w:eastAsia="de-CH"/>
        </w:rPr>
        <w:t xml:space="preserve"> CHF</w:t>
      </w:r>
      <w:r>
        <w:rPr>
          <w:rFonts w:ascii="Calibri" w:hAnsi="Calibri" w:cs="Arial"/>
          <w:bCs/>
          <w:color w:val="000000"/>
          <w:sz w:val="22"/>
          <w:lang w:eastAsia="de-CH"/>
        </w:rPr>
        <w:t xml:space="preserve"> gegenüber. Treiber dieser Entwicklung waren unter anderem Erfolge im Kostenmanagement. Das Betriebsergebnis wird den Statuten der Genossenschaft</w:t>
      </w:r>
      <w:r w:rsidR="00DE1A6E">
        <w:rPr>
          <w:rFonts w:ascii="Calibri" w:hAnsi="Calibri" w:cs="Arial"/>
          <w:bCs/>
          <w:color w:val="000000"/>
          <w:sz w:val="22"/>
          <w:lang w:eastAsia="de-CH"/>
        </w:rPr>
        <w:t xml:space="preserve"> gemäss</w:t>
      </w:r>
      <w:r>
        <w:rPr>
          <w:rFonts w:ascii="Calibri" w:hAnsi="Calibri" w:cs="Arial"/>
          <w:bCs/>
          <w:color w:val="000000"/>
          <w:sz w:val="22"/>
          <w:lang w:eastAsia="de-CH"/>
        </w:rPr>
        <w:t xml:space="preserve"> für die Finanzierung sozialtouristischer Aufgaben verwendet.</w:t>
      </w:r>
    </w:p>
    <w:p w:rsidR="005E30B3" w:rsidRPr="00651B55" w:rsidRDefault="005E30B3" w:rsidP="00651B55">
      <w:pPr>
        <w:spacing w:line="240" w:lineRule="auto"/>
        <w:rPr>
          <w:rFonts w:ascii="Calibri" w:hAnsi="Calibri" w:cs="Arial"/>
          <w:bCs/>
          <w:color w:val="000000"/>
          <w:sz w:val="22"/>
          <w:lang w:eastAsia="de-CH"/>
        </w:rPr>
      </w:pPr>
      <w:r w:rsidRPr="00A83526">
        <w:rPr>
          <w:rFonts w:ascii="Calibri" w:hAnsi="Calibri" w:cs="Arial"/>
          <w:b/>
          <w:bCs/>
          <w:color w:val="000000"/>
          <w:sz w:val="22"/>
          <w:lang w:eastAsia="de-CH"/>
        </w:rPr>
        <w:t>Ausblick 2015: Stabilisierung nach Aufhebung Euro-Mindestkurs</w:t>
      </w:r>
      <w:r>
        <w:rPr>
          <w:rFonts w:ascii="Calibri" w:hAnsi="Calibri" w:cs="Arial"/>
          <w:b/>
          <w:bCs/>
          <w:color w:val="000000"/>
          <w:sz w:val="22"/>
          <w:lang w:eastAsia="de-CH"/>
        </w:rPr>
        <w:br/>
      </w:r>
      <w:r w:rsidRPr="00A83526">
        <w:rPr>
          <w:rFonts w:ascii="Calibri" w:hAnsi="Calibri" w:cs="Arial"/>
          <w:bCs/>
          <w:color w:val="000000"/>
          <w:sz w:val="22"/>
          <w:lang w:eastAsia="de-CH"/>
        </w:rPr>
        <w:t>D</w:t>
      </w:r>
      <w:r>
        <w:rPr>
          <w:rFonts w:ascii="Calibri" w:hAnsi="Calibri" w:cs="Arial"/>
          <w:bCs/>
          <w:color w:val="000000"/>
          <w:sz w:val="22"/>
          <w:lang w:eastAsia="de-CH"/>
        </w:rPr>
        <w:t>ie Aufhebung des Euro-Mindestkurses führte in den ersten Wochen des neuen Jahres zu spürbaren Veränderungen in der Nachfrage. Da Reka-Kunden sich unmittelbar nach dem Kurssturz mit billigen Euro</w:t>
      </w:r>
      <w:r w:rsidR="00DE1A6E">
        <w:rPr>
          <w:rFonts w:ascii="Calibri" w:hAnsi="Calibri" w:cs="Arial"/>
          <w:bCs/>
          <w:color w:val="000000"/>
          <w:sz w:val="22"/>
          <w:lang w:eastAsia="de-CH"/>
        </w:rPr>
        <w:t>s</w:t>
      </w:r>
      <w:r>
        <w:rPr>
          <w:rFonts w:ascii="Calibri" w:hAnsi="Calibri" w:cs="Arial"/>
          <w:bCs/>
          <w:color w:val="000000"/>
          <w:sz w:val="22"/>
          <w:lang w:eastAsia="de-CH"/>
        </w:rPr>
        <w:t xml:space="preserve"> eindeckten, sank der Verkaufsumsatz bei Reka-Geld kurzfristig. Dieser Effekt konnte per Ende des ersten Quartals weitgehend kompensiert werden. Im Feriengeschäft führte die Aufhebung des Mindestkurses zu einer deutlichen Verlagerung der Buchungen von Angeboten in der Schweiz zu solchen im Ausland. Die Rückstände im Schweizer Geschäft betragen per Ende des 1. Quartals kapazitätsbereinigt noch etwa 5 %. Je nach Verlauf des Sommergeschäftes betrachtet Reka das Erreichen des Vorjahresergebnisses als möglich. </w:t>
      </w:r>
    </w:p>
    <w:p w:rsidR="005E30B3" w:rsidRDefault="005E30B3" w:rsidP="00D86830">
      <w:pPr>
        <w:spacing w:after="0" w:line="240" w:lineRule="auto"/>
        <w:outlineLvl w:val="4"/>
        <w:rPr>
          <w:rFonts w:ascii="Calibri" w:hAnsi="Calibri" w:cs="Arial"/>
          <w:b/>
          <w:bCs/>
          <w:color w:val="000000"/>
          <w:sz w:val="22"/>
          <w:lang w:eastAsia="de-CH"/>
        </w:rPr>
      </w:pPr>
    </w:p>
    <w:p w:rsidR="005E30B3" w:rsidRPr="000103A5" w:rsidRDefault="005E30B3" w:rsidP="00D86830">
      <w:pPr>
        <w:spacing w:after="0" w:line="240" w:lineRule="auto"/>
        <w:outlineLvl w:val="4"/>
        <w:rPr>
          <w:rFonts w:ascii="Calibri" w:hAnsi="Calibri" w:cs="Arial"/>
          <w:b/>
          <w:bCs/>
          <w:color w:val="000000"/>
          <w:sz w:val="22"/>
          <w:lang w:eastAsia="de-CH"/>
        </w:rPr>
      </w:pPr>
      <w:r>
        <w:rPr>
          <w:rFonts w:ascii="Calibri" w:hAnsi="Calibri" w:cs="Arial"/>
          <w:b/>
          <w:bCs/>
          <w:color w:val="000000"/>
          <w:sz w:val="22"/>
          <w:lang w:eastAsia="de-CH"/>
        </w:rPr>
        <w:t>Kennzahlen 2014 im Überblick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992"/>
        <w:gridCol w:w="992"/>
      </w:tblGrid>
      <w:tr w:rsidR="005E30B3" w:rsidRPr="00014400" w:rsidTr="00014400">
        <w:tc>
          <w:tcPr>
            <w:tcW w:w="2127" w:type="dxa"/>
            <w:vAlign w:val="bottom"/>
          </w:tcPr>
          <w:p w:rsidR="005E30B3" w:rsidRPr="00014400" w:rsidRDefault="005E30B3" w:rsidP="00014400">
            <w:pPr>
              <w:spacing w:after="0"/>
              <w:rPr>
                <w:rFonts w:ascii="Calibri" w:hAnsi="Calibri" w:cs="Arial"/>
                <w:color w:val="000000"/>
                <w:sz w:val="22"/>
              </w:rPr>
            </w:pPr>
            <w:r w:rsidRPr="00014400">
              <w:rPr>
                <w:rFonts w:ascii="Calibri" w:hAnsi="Calibri" w:cs="Arial"/>
                <w:color w:val="000000"/>
                <w:sz w:val="22"/>
              </w:rPr>
              <w:t>in Mio. CHF</w:t>
            </w:r>
          </w:p>
        </w:tc>
        <w:tc>
          <w:tcPr>
            <w:tcW w:w="992" w:type="dxa"/>
          </w:tcPr>
          <w:p w:rsidR="005E30B3" w:rsidRPr="00014400" w:rsidRDefault="005E30B3" w:rsidP="00014400">
            <w:pPr>
              <w:spacing w:after="0"/>
              <w:jc w:val="right"/>
              <w:rPr>
                <w:rFonts w:ascii="Calibri" w:hAnsi="Calibri" w:cs="Arial"/>
                <w:b/>
                <w:color w:val="000000"/>
                <w:sz w:val="22"/>
              </w:rPr>
            </w:pPr>
            <w:r w:rsidRPr="00014400">
              <w:rPr>
                <w:rFonts w:ascii="Calibri" w:hAnsi="Calibri" w:cs="Arial"/>
                <w:b/>
                <w:color w:val="000000"/>
                <w:sz w:val="22"/>
              </w:rPr>
              <w:t>2014</w:t>
            </w:r>
          </w:p>
        </w:tc>
        <w:tc>
          <w:tcPr>
            <w:tcW w:w="992" w:type="dxa"/>
          </w:tcPr>
          <w:p w:rsidR="005E30B3" w:rsidRPr="00014400" w:rsidRDefault="005E30B3" w:rsidP="00014400">
            <w:pPr>
              <w:spacing w:after="0"/>
              <w:jc w:val="right"/>
              <w:rPr>
                <w:rFonts w:ascii="Calibri" w:hAnsi="Calibri" w:cs="Arial"/>
                <w:b/>
                <w:color w:val="000000"/>
                <w:sz w:val="22"/>
              </w:rPr>
            </w:pPr>
            <w:r w:rsidRPr="00014400">
              <w:rPr>
                <w:rFonts w:ascii="Calibri" w:hAnsi="Calibri" w:cs="Arial"/>
                <w:b/>
                <w:color w:val="000000"/>
                <w:sz w:val="22"/>
              </w:rPr>
              <w:t>2013</w:t>
            </w:r>
          </w:p>
        </w:tc>
      </w:tr>
      <w:tr w:rsidR="005E30B3" w:rsidRPr="00014400" w:rsidTr="00014400">
        <w:tc>
          <w:tcPr>
            <w:tcW w:w="2127" w:type="dxa"/>
          </w:tcPr>
          <w:p w:rsidR="005E30B3" w:rsidRPr="00014400" w:rsidRDefault="005E30B3" w:rsidP="00014400">
            <w:pPr>
              <w:spacing w:after="0"/>
              <w:rPr>
                <w:rFonts w:ascii="Calibri" w:hAnsi="Calibri" w:cs="Arial"/>
                <w:color w:val="000000"/>
                <w:sz w:val="22"/>
              </w:rPr>
            </w:pPr>
            <w:r w:rsidRPr="00014400">
              <w:rPr>
                <w:rFonts w:ascii="Calibri" w:hAnsi="Calibri" w:cs="Arial"/>
                <w:color w:val="000000"/>
                <w:sz w:val="22"/>
              </w:rPr>
              <w:t>Ertrag</w:t>
            </w:r>
          </w:p>
        </w:tc>
        <w:tc>
          <w:tcPr>
            <w:tcW w:w="992" w:type="dxa"/>
          </w:tcPr>
          <w:p w:rsidR="005E30B3" w:rsidRPr="00014400" w:rsidRDefault="005E30B3" w:rsidP="00DE1A6E">
            <w:pPr>
              <w:spacing w:after="0"/>
              <w:jc w:val="right"/>
              <w:rPr>
                <w:rFonts w:ascii="Calibri" w:hAnsi="Calibri" w:cs="Arial"/>
                <w:color w:val="000000"/>
                <w:sz w:val="22"/>
              </w:rPr>
            </w:pPr>
            <w:r w:rsidRPr="00014400">
              <w:rPr>
                <w:rFonts w:ascii="Calibri" w:hAnsi="Calibri" w:cs="Arial"/>
                <w:color w:val="000000"/>
                <w:sz w:val="22"/>
              </w:rPr>
              <w:t>74</w:t>
            </w:r>
            <w:r w:rsidR="00DE1A6E">
              <w:rPr>
                <w:rFonts w:ascii="Calibri" w:hAnsi="Calibri" w:cs="Arial"/>
                <w:color w:val="000000"/>
                <w:sz w:val="22"/>
              </w:rPr>
              <w:t>.</w:t>
            </w:r>
            <w:r w:rsidRPr="00014400">
              <w:rPr>
                <w:rFonts w:ascii="Calibri" w:hAnsi="Calibri" w:cs="Arial"/>
                <w:color w:val="000000"/>
                <w:sz w:val="22"/>
              </w:rPr>
              <w:t>4</w:t>
            </w:r>
          </w:p>
        </w:tc>
        <w:tc>
          <w:tcPr>
            <w:tcW w:w="992" w:type="dxa"/>
          </w:tcPr>
          <w:p w:rsidR="005E30B3" w:rsidRPr="00014400" w:rsidRDefault="005E30B3" w:rsidP="00014400">
            <w:pPr>
              <w:spacing w:after="0"/>
              <w:jc w:val="right"/>
              <w:rPr>
                <w:rFonts w:ascii="Calibri" w:hAnsi="Calibri" w:cs="Arial"/>
                <w:color w:val="000000"/>
                <w:sz w:val="22"/>
              </w:rPr>
            </w:pPr>
            <w:r w:rsidRPr="00014400">
              <w:rPr>
                <w:rFonts w:ascii="Calibri" w:hAnsi="Calibri" w:cs="Arial"/>
                <w:color w:val="000000"/>
                <w:sz w:val="22"/>
              </w:rPr>
              <w:t>75.4</w:t>
            </w:r>
          </w:p>
        </w:tc>
      </w:tr>
      <w:tr w:rsidR="005E30B3" w:rsidRPr="00014400" w:rsidTr="00014400">
        <w:tc>
          <w:tcPr>
            <w:tcW w:w="2127" w:type="dxa"/>
          </w:tcPr>
          <w:p w:rsidR="005E30B3" w:rsidRPr="00014400" w:rsidRDefault="005E30B3" w:rsidP="00014400">
            <w:pPr>
              <w:spacing w:after="0"/>
              <w:rPr>
                <w:rFonts w:ascii="Calibri" w:hAnsi="Calibri" w:cs="Arial"/>
                <w:color w:val="000000"/>
                <w:sz w:val="22"/>
              </w:rPr>
            </w:pPr>
            <w:r w:rsidRPr="00014400">
              <w:rPr>
                <w:rFonts w:ascii="Calibri" w:hAnsi="Calibri" w:cs="Arial"/>
                <w:color w:val="000000"/>
                <w:sz w:val="22"/>
              </w:rPr>
              <w:t>Bruttogewinn</w:t>
            </w:r>
          </w:p>
        </w:tc>
        <w:tc>
          <w:tcPr>
            <w:tcW w:w="992" w:type="dxa"/>
          </w:tcPr>
          <w:p w:rsidR="005E30B3" w:rsidRPr="00014400" w:rsidRDefault="005E30B3" w:rsidP="00014400">
            <w:pPr>
              <w:spacing w:after="0"/>
              <w:jc w:val="right"/>
              <w:rPr>
                <w:rFonts w:ascii="Calibri" w:hAnsi="Calibri" w:cs="Arial"/>
                <w:color w:val="000000"/>
                <w:sz w:val="22"/>
              </w:rPr>
            </w:pPr>
            <w:r w:rsidRPr="00014400">
              <w:rPr>
                <w:rFonts w:ascii="Calibri" w:hAnsi="Calibri" w:cs="Arial"/>
                <w:color w:val="000000"/>
                <w:sz w:val="22"/>
              </w:rPr>
              <w:t>48.0</w:t>
            </w:r>
          </w:p>
        </w:tc>
        <w:tc>
          <w:tcPr>
            <w:tcW w:w="992" w:type="dxa"/>
          </w:tcPr>
          <w:p w:rsidR="005E30B3" w:rsidRPr="00014400" w:rsidRDefault="005E30B3" w:rsidP="00014400">
            <w:pPr>
              <w:spacing w:after="0"/>
              <w:jc w:val="right"/>
              <w:rPr>
                <w:rFonts w:ascii="Calibri" w:hAnsi="Calibri" w:cs="Arial"/>
                <w:color w:val="000000"/>
                <w:sz w:val="22"/>
              </w:rPr>
            </w:pPr>
            <w:r w:rsidRPr="00014400">
              <w:rPr>
                <w:rFonts w:ascii="Calibri" w:hAnsi="Calibri" w:cs="Arial"/>
                <w:color w:val="000000"/>
                <w:sz w:val="22"/>
              </w:rPr>
              <w:t>47.2</w:t>
            </w:r>
          </w:p>
        </w:tc>
      </w:tr>
      <w:tr w:rsidR="005E30B3" w:rsidRPr="00014400" w:rsidTr="00014400">
        <w:tc>
          <w:tcPr>
            <w:tcW w:w="2127" w:type="dxa"/>
          </w:tcPr>
          <w:p w:rsidR="005E30B3" w:rsidRPr="00014400" w:rsidRDefault="005E30B3" w:rsidP="00014400">
            <w:pPr>
              <w:spacing w:after="0"/>
              <w:rPr>
                <w:rFonts w:ascii="Calibri" w:hAnsi="Calibri" w:cs="Arial"/>
                <w:color w:val="000000"/>
                <w:sz w:val="22"/>
              </w:rPr>
            </w:pPr>
            <w:r w:rsidRPr="00014400">
              <w:rPr>
                <w:rFonts w:ascii="Calibri" w:hAnsi="Calibri" w:cs="Arial"/>
                <w:color w:val="000000"/>
                <w:sz w:val="22"/>
              </w:rPr>
              <w:t>Betriebsergebnis     </w:t>
            </w:r>
          </w:p>
        </w:tc>
        <w:tc>
          <w:tcPr>
            <w:tcW w:w="992" w:type="dxa"/>
          </w:tcPr>
          <w:p w:rsidR="005E30B3" w:rsidRPr="00014400" w:rsidRDefault="005E30B3" w:rsidP="00014400">
            <w:pPr>
              <w:spacing w:after="0"/>
              <w:jc w:val="right"/>
              <w:rPr>
                <w:rFonts w:ascii="Calibri" w:hAnsi="Calibri" w:cs="Arial"/>
                <w:color w:val="000000"/>
                <w:sz w:val="22"/>
              </w:rPr>
            </w:pPr>
            <w:r w:rsidRPr="00014400">
              <w:rPr>
                <w:rFonts w:ascii="Calibri" w:hAnsi="Calibri" w:cs="Arial"/>
                <w:color w:val="000000"/>
                <w:sz w:val="22"/>
              </w:rPr>
              <w:t>6.2</w:t>
            </w:r>
          </w:p>
        </w:tc>
        <w:tc>
          <w:tcPr>
            <w:tcW w:w="992" w:type="dxa"/>
          </w:tcPr>
          <w:p w:rsidR="005E30B3" w:rsidRPr="00014400" w:rsidRDefault="005E30B3" w:rsidP="00014400">
            <w:pPr>
              <w:spacing w:after="0"/>
              <w:jc w:val="right"/>
              <w:rPr>
                <w:rFonts w:ascii="Calibri" w:hAnsi="Calibri" w:cs="Arial"/>
                <w:color w:val="000000"/>
                <w:sz w:val="22"/>
              </w:rPr>
            </w:pPr>
            <w:r w:rsidRPr="00014400">
              <w:rPr>
                <w:rFonts w:ascii="Calibri" w:hAnsi="Calibri" w:cs="Arial"/>
                <w:color w:val="000000"/>
                <w:sz w:val="22"/>
              </w:rPr>
              <w:t>3.9</w:t>
            </w:r>
          </w:p>
        </w:tc>
      </w:tr>
      <w:tr w:rsidR="005E30B3" w:rsidRPr="00014400" w:rsidTr="00014400">
        <w:tc>
          <w:tcPr>
            <w:tcW w:w="2127" w:type="dxa"/>
          </w:tcPr>
          <w:p w:rsidR="005E30B3" w:rsidRPr="00014400" w:rsidRDefault="005E30B3" w:rsidP="00014400">
            <w:pPr>
              <w:spacing w:after="0"/>
              <w:rPr>
                <w:rFonts w:ascii="Calibri" w:hAnsi="Calibri" w:cs="Arial"/>
                <w:color w:val="000000"/>
                <w:sz w:val="22"/>
              </w:rPr>
            </w:pPr>
            <w:r w:rsidRPr="00014400">
              <w:rPr>
                <w:rFonts w:ascii="Calibri" w:hAnsi="Calibri" w:cs="Arial"/>
                <w:color w:val="000000"/>
                <w:sz w:val="22"/>
              </w:rPr>
              <w:t>Cashflow  </w:t>
            </w:r>
          </w:p>
        </w:tc>
        <w:tc>
          <w:tcPr>
            <w:tcW w:w="992" w:type="dxa"/>
          </w:tcPr>
          <w:p w:rsidR="005E30B3" w:rsidRPr="00014400" w:rsidRDefault="005E30B3" w:rsidP="00014400">
            <w:pPr>
              <w:spacing w:after="0"/>
              <w:jc w:val="right"/>
              <w:rPr>
                <w:rFonts w:ascii="Calibri" w:hAnsi="Calibri" w:cs="Arial"/>
                <w:color w:val="000000"/>
                <w:sz w:val="22"/>
              </w:rPr>
            </w:pPr>
            <w:r w:rsidRPr="00014400">
              <w:rPr>
                <w:rFonts w:ascii="Calibri" w:hAnsi="Calibri" w:cs="Arial"/>
                <w:color w:val="000000"/>
                <w:sz w:val="22"/>
              </w:rPr>
              <w:t>8.2</w:t>
            </w:r>
          </w:p>
        </w:tc>
        <w:tc>
          <w:tcPr>
            <w:tcW w:w="992" w:type="dxa"/>
          </w:tcPr>
          <w:p w:rsidR="005E30B3" w:rsidRPr="00014400" w:rsidRDefault="005E30B3" w:rsidP="00014400">
            <w:pPr>
              <w:spacing w:after="0"/>
              <w:jc w:val="right"/>
              <w:rPr>
                <w:rFonts w:ascii="Calibri" w:hAnsi="Calibri" w:cs="Arial"/>
                <w:color w:val="000000"/>
                <w:sz w:val="22"/>
              </w:rPr>
            </w:pPr>
            <w:r w:rsidRPr="00014400">
              <w:rPr>
                <w:rFonts w:ascii="Calibri" w:hAnsi="Calibri" w:cs="Arial"/>
                <w:color w:val="000000"/>
                <w:sz w:val="22"/>
              </w:rPr>
              <w:t>9.2</w:t>
            </w:r>
          </w:p>
        </w:tc>
      </w:tr>
    </w:tbl>
    <w:p w:rsidR="005E30B3" w:rsidRPr="000103A5" w:rsidRDefault="005E30B3" w:rsidP="00D86830">
      <w:pPr>
        <w:spacing w:after="0" w:line="240" w:lineRule="auto"/>
        <w:rPr>
          <w:rFonts w:ascii="Calibri" w:hAnsi="Calibri" w:cs="Arial"/>
          <w:sz w:val="22"/>
          <w:lang w:eastAsia="de-CH"/>
        </w:rPr>
      </w:pPr>
    </w:p>
    <w:p w:rsidR="005E30B3" w:rsidRPr="000103A5" w:rsidRDefault="005E30B3" w:rsidP="00D86830">
      <w:pPr>
        <w:spacing w:after="0" w:line="240" w:lineRule="auto"/>
        <w:rPr>
          <w:rFonts w:ascii="Calibri" w:hAnsi="Calibri" w:cs="Arial"/>
          <w:b/>
          <w:sz w:val="22"/>
          <w:lang w:eastAsia="de-CH"/>
        </w:rPr>
      </w:pPr>
    </w:p>
    <w:p w:rsidR="005E30B3" w:rsidRDefault="005E30B3" w:rsidP="00D86830">
      <w:pPr>
        <w:spacing w:after="0" w:line="240" w:lineRule="auto"/>
        <w:rPr>
          <w:rFonts w:ascii="Calibri" w:hAnsi="Calibri" w:cs="Arial"/>
          <w:sz w:val="22"/>
          <w:lang w:eastAsia="de-CH"/>
        </w:rPr>
      </w:pPr>
      <w:r w:rsidRPr="000103A5">
        <w:rPr>
          <w:rFonts w:ascii="Calibri" w:hAnsi="Calibri" w:cs="Arial"/>
          <w:b/>
          <w:sz w:val="22"/>
          <w:lang w:eastAsia="de-CH"/>
        </w:rPr>
        <w:t>Kontaktperson für weitere Auskünfte</w:t>
      </w:r>
      <w:r w:rsidRPr="000103A5">
        <w:rPr>
          <w:rFonts w:ascii="Calibri" w:hAnsi="Calibri" w:cs="Arial"/>
          <w:b/>
          <w:sz w:val="22"/>
          <w:lang w:eastAsia="de-CH"/>
        </w:rPr>
        <w:br/>
      </w:r>
      <w:r w:rsidRPr="000103A5">
        <w:rPr>
          <w:rFonts w:ascii="Calibri" w:hAnsi="Calibri" w:cs="Arial"/>
          <w:sz w:val="22"/>
          <w:lang w:eastAsia="de-CH"/>
        </w:rPr>
        <w:t>Roger Seifritz, Direktor, Tel. 031 329 66 33</w:t>
      </w:r>
    </w:p>
    <w:p w:rsidR="005E30B3" w:rsidRPr="000103A5" w:rsidRDefault="005E30B3" w:rsidP="00D86830">
      <w:pPr>
        <w:autoSpaceDE w:val="0"/>
        <w:autoSpaceDN w:val="0"/>
        <w:adjustRightInd w:val="0"/>
        <w:spacing w:after="0" w:line="240" w:lineRule="auto"/>
        <w:rPr>
          <w:rFonts w:ascii="Calibri" w:hAnsi="Calibri" w:cs="Calibri"/>
          <w:bCs/>
          <w:sz w:val="22"/>
          <w:lang w:val="de-DE" w:eastAsia="de-CH"/>
        </w:rPr>
      </w:pPr>
      <w:r w:rsidRPr="000103A5">
        <w:rPr>
          <w:rFonts w:ascii="Calibri" w:hAnsi="Calibri" w:cs="Calibri"/>
          <w:bCs/>
          <w:sz w:val="22"/>
          <w:lang w:val="de-DE" w:eastAsia="de-CH"/>
        </w:rPr>
        <w:t>Download Medienmitteilung und Bildmaterial: http://www.reka.ch/medien</w:t>
      </w:r>
    </w:p>
    <w:p w:rsidR="005E30B3" w:rsidRPr="000103A5" w:rsidRDefault="005E30B3" w:rsidP="00D86830">
      <w:pPr>
        <w:spacing w:after="0" w:line="240" w:lineRule="auto"/>
        <w:rPr>
          <w:rFonts w:ascii="Calibri" w:hAnsi="Calibri" w:cs="Arial"/>
          <w:sz w:val="22"/>
          <w:lang w:val="de-DE"/>
        </w:rPr>
      </w:pPr>
    </w:p>
    <w:p w:rsidR="005E30B3" w:rsidRPr="00653273" w:rsidRDefault="005E30B3" w:rsidP="00653273">
      <w:pPr>
        <w:tabs>
          <w:tab w:val="left" w:pos="6170"/>
        </w:tabs>
        <w:rPr>
          <w:rFonts w:ascii="Calibri" w:hAnsi="Calibri" w:cs="Calibri"/>
        </w:rPr>
      </w:pPr>
    </w:p>
    <w:sectPr w:rsidR="005E30B3" w:rsidRPr="00653273" w:rsidSect="00D86830">
      <w:headerReference w:type="default" r:id="rId8"/>
      <w:footerReference w:type="default" r:id="rId9"/>
      <w:headerReference w:type="first" r:id="rId10"/>
      <w:footerReference w:type="first" r:id="rId11"/>
      <w:pgSz w:w="11906" w:h="16838" w:code="9"/>
      <w:pgMar w:top="1843" w:right="1134" w:bottom="567" w:left="1304" w:header="709" w:footer="1276" w:gutter="0"/>
      <w:paperSrc w:first="7" w:other="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0B3" w:rsidRDefault="005E30B3" w:rsidP="003439F1">
      <w:r>
        <w:separator/>
      </w:r>
    </w:p>
  </w:endnote>
  <w:endnote w:type="continuationSeparator" w:id="0">
    <w:p w:rsidR="005E30B3" w:rsidRDefault="005E30B3" w:rsidP="00343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0B3" w:rsidRDefault="00DE6D5B">
    <w:pPr>
      <w:pStyle w:val="Fuzeile"/>
    </w:pPr>
    <w:r>
      <w:rPr>
        <w:noProof/>
      </w:rPr>
      <w:drawing>
        <wp:anchor distT="0" distB="0" distL="114300" distR="114300" simplePos="0" relativeHeight="251658240" behindDoc="0" locked="0" layoutInCell="1" allowOverlap="1">
          <wp:simplePos x="0" y="0"/>
          <wp:positionH relativeFrom="column">
            <wp:posOffset>-528955</wp:posOffset>
          </wp:positionH>
          <wp:positionV relativeFrom="paragraph">
            <wp:posOffset>615315</wp:posOffset>
          </wp:positionV>
          <wp:extent cx="7225030" cy="154940"/>
          <wp:effectExtent l="0" t="0" r="0" b="0"/>
          <wp:wrapNone/>
          <wp:docPr id="2" name="Bild 2" descr="Balken_rgb_fuer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lken_rgb_fuer_A4"/>
                  <pic:cNvPicPr>
                    <a:picLocks noChangeAspect="1" noChangeArrowheads="1"/>
                  </pic:cNvPicPr>
                </pic:nvPicPr>
                <pic:blipFill>
                  <a:blip r:embed="rId1">
                    <a:lum bright="-10000"/>
                    <a:extLst>
                      <a:ext uri="{28A0092B-C50C-407E-A947-70E740481C1C}">
                        <a14:useLocalDpi xmlns:a14="http://schemas.microsoft.com/office/drawing/2010/main" val="0"/>
                      </a:ext>
                    </a:extLst>
                  </a:blip>
                  <a:srcRect/>
                  <a:stretch>
                    <a:fillRect/>
                  </a:stretch>
                </pic:blipFill>
                <pic:spPr bwMode="auto">
                  <a:xfrm>
                    <a:off x="0" y="0"/>
                    <a:ext cx="7225030" cy="1549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0B3" w:rsidRDefault="00DE6D5B" w:rsidP="00C77A30">
    <w:pPr>
      <w:pStyle w:val="Fuzeile"/>
      <w:tabs>
        <w:tab w:val="clear" w:pos="9072"/>
      </w:tabs>
    </w:pPr>
    <w:r>
      <w:rPr>
        <w:noProof/>
      </w:rPr>
      <w:drawing>
        <wp:anchor distT="0" distB="0" distL="114300" distR="114300" simplePos="0" relativeHeight="251657216" behindDoc="0" locked="0" layoutInCell="1" allowOverlap="1">
          <wp:simplePos x="0" y="0"/>
          <wp:positionH relativeFrom="column">
            <wp:posOffset>-478790</wp:posOffset>
          </wp:positionH>
          <wp:positionV relativeFrom="paragraph">
            <wp:posOffset>629285</wp:posOffset>
          </wp:positionV>
          <wp:extent cx="6877050" cy="152400"/>
          <wp:effectExtent l="0" t="0" r="0" b="0"/>
          <wp:wrapNone/>
          <wp:docPr id="4" name="Bild 3" descr="Balken_rgb_fuer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alken_rgb_fuer_A4"/>
                  <pic:cNvPicPr>
                    <a:picLocks noChangeAspect="1" noChangeArrowheads="1"/>
                  </pic:cNvPicPr>
                </pic:nvPicPr>
                <pic:blipFill>
                  <a:blip r:embed="rId1">
                    <a:lum bright="-10000"/>
                    <a:extLst>
                      <a:ext uri="{28A0092B-C50C-407E-A947-70E740481C1C}">
                        <a14:useLocalDpi xmlns:a14="http://schemas.microsoft.com/office/drawing/2010/main" val="0"/>
                      </a:ext>
                    </a:extLst>
                  </a:blip>
                  <a:srcRect/>
                  <a:stretch>
                    <a:fillRect/>
                  </a:stretch>
                </pic:blipFill>
                <pic:spPr bwMode="auto">
                  <a:xfrm>
                    <a:off x="0" y="0"/>
                    <a:ext cx="6877050" cy="1524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0B3" w:rsidRDefault="005E30B3" w:rsidP="003439F1">
      <w:r>
        <w:separator/>
      </w:r>
    </w:p>
  </w:footnote>
  <w:footnote w:type="continuationSeparator" w:id="0">
    <w:p w:rsidR="005E30B3" w:rsidRDefault="005E30B3" w:rsidP="00343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0B3" w:rsidRDefault="00DE6D5B" w:rsidP="00E23559">
    <w:pPr>
      <w:pStyle w:val="Kopfzeile"/>
      <w:tabs>
        <w:tab w:val="clear" w:pos="4536"/>
        <w:tab w:val="clear" w:pos="9072"/>
      </w:tabs>
      <w:jc w:val="right"/>
    </w:pPr>
    <w:r>
      <w:rPr>
        <w:noProof/>
      </w:rPr>
      <w:drawing>
        <wp:anchor distT="0" distB="0" distL="114300" distR="114300" simplePos="0" relativeHeight="251659264" behindDoc="0" locked="0" layoutInCell="1" allowOverlap="1">
          <wp:simplePos x="0" y="0"/>
          <wp:positionH relativeFrom="column">
            <wp:posOffset>4806950</wp:posOffset>
          </wp:positionH>
          <wp:positionV relativeFrom="paragraph">
            <wp:posOffset>-133350</wp:posOffset>
          </wp:positionV>
          <wp:extent cx="1440815" cy="307340"/>
          <wp:effectExtent l="0" t="0" r="6985" b="0"/>
          <wp:wrapNone/>
          <wp:docPr id="1" name="Bild 1" descr="Logo_rgb_fuer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rgb_fuer_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815" cy="3073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0B3" w:rsidRDefault="00DE6D5B" w:rsidP="00E23559">
    <w:pPr>
      <w:pStyle w:val="Kopfzeile"/>
    </w:pPr>
    <w:r>
      <w:rPr>
        <w:noProof/>
      </w:rPr>
      <w:drawing>
        <wp:anchor distT="0" distB="0" distL="114300" distR="114300" simplePos="0" relativeHeight="251656192" behindDoc="0" locked="0" layoutInCell="1" allowOverlap="1">
          <wp:simplePos x="0" y="0"/>
          <wp:positionH relativeFrom="column">
            <wp:posOffset>4808220</wp:posOffset>
          </wp:positionH>
          <wp:positionV relativeFrom="paragraph">
            <wp:posOffset>-148590</wp:posOffset>
          </wp:positionV>
          <wp:extent cx="1440815" cy="307340"/>
          <wp:effectExtent l="0" t="0" r="6985" b="0"/>
          <wp:wrapNone/>
          <wp:docPr id="3" name="Bild 4" descr="Logo_rgb_fuer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Logo_rgb_fuer_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815" cy="3073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C7062"/>
    <w:multiLevelType w:val="hybridMultilevel"/>
    <w:tmpl w:val="412ED6F4"/>
    <w:lvl w:ilvl="0" w:tplc="08070001">
      <w:start w:val="1"/>
      <w:numFmt w:val="bullet"/>
      <w:lvlText w:val=""/>
      <w:lvlJc w:val="left"/>
      <w:pPr>
        <w:tabs>
          <w:tab w:val="num" w:pos="2700"/>
        </w:tabs>
        <w:ind w:left="2700" w:hanging="360"/>
      </w:pPr>
      <w:rPr>
        <w:rFonts w:ascii="Symbol" w:hAnsi="Symbol" w:hint="default"/>
      </w:rPr>
    </w:lvl>
    <w:lvl w:ilvl="1" w:tplc="08070003" w:tentative="1">
      <w:start w:val="1"/>
      <w:numFmt w:val="bullet"/>
      <w:lvlText w:val="o"/>
      <w:lvlJc w:val="left"/>
      <w:pPr>
        <w:tabs>
          <w:tab w:val="num" w:pos="3420"/>
        </w:tabs>
        <w:ind w:left="3420" w:hanging="360"/>
      </w:pPr>
      <w:rPr>
        <w:rFonts w:ascii="Courier New" w:hAnsi="Courier New" w:hint="default"/>
      </w:rPr>
    </w:lvl>
    <w:lvl w:ilvl="2" w:tplc="08070005" w:tentative="1">
      <w:start w:val="1"/>
      <w:numFmt w:val="bullet"/>
      <w:lvlText w:val=""/>
      <w:lvlJc w:val="left"/>
      <w:pPr>
        <w:tabs>
          <w:tab w:val="num" w:pos="4140"/>
        </w:tabs>
        <w:ind w:left="4140" w:hanging="360"/>
      </w:pPr>
      <w:rPr>
        <w:rFonts w:ascii="Wingdings" w:hAnsi="Wingdings" w:hint="default"/>
      </w:rPr>
    </w:lvl>
    <w:lvl w:ilvl="3" w:tplc="08070001" w:tentative="1">
      <w:start w:val="1"/>
      <w:numFmt w:val="bullet"/>
      <w:lvlText w:val=""/>
      <w:lvlJc w:val="left"/>
      <w:pPr>
        <w:tabs>
          <w:tab w:val="num" w:pos="4860"/>
        </w:tabs>
        <w:ind w:left="4860" w:hanging="360"/>
      </w:pPr>
      <w:rPr>
        <w:rFonts w:ascii="Symbol" w:hAnsi="Symbol" w:hint="default"/>
      </w:rPr>
    </w:lvl>
    <w:lvl w:ilvl="4" w:tplc="08070003" w:tentative="1">
      <w:start w:val="1"/>
      <w:numFmt w:val="bullet"/>
      <w:lvlText w:val="o"/>
      <w:lvlJc w:val="left"/>
      <w:pPr>
        <w:tabs>
          <w:tab w:val="num" w:pos="5580"/>
        </w:tabs>
        <w:ind w:left="5580" w:hanging="360"/>
      </w:pPr>
      <w:rPr>
        <w:rFonts w:ascii="Courier New" w:hAnsi="Courier New" w:hint="default"/>
      </w:rPr>
    </w:lvl>
    <w:lvl w:ilvl="5" w:tplc="08070005" w:tentative="1">
      <w:start w:val="1"/>
      <w:numFmt w:val="bullet"/>
      <w:lvlText w:val=""/>
      <w:lvlJc w:val="left"/>
      <w:pPr>
        <w:tabs>
          <w:tab w:val="num" w:pos="6300"/>
        </w:tabs>
        <w:ind w:left="6300" w:hanging="360"/>
      </w:pPr>
      <w:rPr>
        <w:rFonts w:ascii="Wingdings" w:hAnsi="Wingdings" w:hint="default"/>
      </w:rPr>
    </w:lvl>
    <w:lvl w:ilvl="6" w:tplc="08070001" w:tentative="1">
      <w:start w:val="1"/>
      <w:numFmt w:val="bullet"/>
      <w:lvlText w:val=""/>
      <w:lvlJc w:val="left"/>
      <w:pPr>
        <w:tabs>
          <w:tab w:val="num" w:pos="7020"/>
        </w:tabs>
        <w:ind w:left="7020" w:hanging="360"/>
      </w:pPr>
      <w:rPr>
        <w:rFonts w:ascii="Symbol" w:hAnsi="Symbol" w:hint="default"/>
      </w:rPr>
    </w:lvl>
    <w:lvl w:ilvl="7" w:tplc="08070003" w:tentative="1">
      <w:start w:val="1"/>
      <w:numFmt w:val="bullet"/>
      <w:lvlText w:val="o"/>
      <w:lvlJc w:val="left"/>
      <w:pPr>
        <w:tabs>
          <w:tab w:val="num" w:pos="7740"/>
        </w:tabs>
        <w:ind w:left="7740" w:hanging="360"/>
      </w:pPr>
      <w:rPr>
        <w:rFonts w:ascii="Courier New" w:hAnsi="Courier New" w:hint="default"/>
      </w:rPr>
    </w:lvl>
    <w:lvl w:ilvl="8" w:tplc="08070005" w:tentative="1">
      <w:start w:val="1"/>
      <w:numFmt w:val="bullet"/>
      <w:lvlText w:val=""/>
      <w:lvlJc w:val="left"/>
      <w:pPr>
        <w:tabs>
          <w:tab w:val="num" w:pos="8460"/>
        </w:tabs>
        <w:ind w:left="8460" w:hanging="360"/>
      </w:pPr>
      <w:rPr>
        <w:rFonts w:ascii="Wingdings" w:hAnsi="Wingdings" w:hint="default"/>
      </w:rPr>
    </w:lvl>
  </w:abstractNum>
  <w:abstractNum w:abstractNumId="1">
    <w:nsid w:val="2B1E6B70"/>
    <w:multiLevelType w:val="hybridMultilevel"/>
    <w:tmpl w:val="E8CC7AC6"/>
    <w:lvl w:ilvl="0" w:tplc="0407000B">
      <w:start w:val="1"/>
      <w:numFmt w:val="bullet"/>
      <w:lvlText w:val=""/>
      <w:lvlJc w:val="left"/>
      <w:pPr>
        <w:tabs>
          <w:tab w:val="num" w:pos="2877"/>
        </w:tabs>
        <w:ind w:left="2877" w:hanging="360"/>
      </w:pPr>
      <w:rPr>
        <w:rFonts w:ascii="Wingdings" w:hAnsi="Wingdings" w:hint="default"/>
      </w:rPr>
    </w:lvl>
    <w:lvl w:ilvl="1" w:tplc="04070003">
      <w:start w:val="1"/>
      <w:numFmt w:val="bullet"/>
      <w:lvlText w:val="o"/>
      <w:lvlJc w:val="left"/>
      <w:pPr>
        <w:tabs>
          <w:tab w:val="num" w:pos="3597"/>
        </w:tabs>
        <w:ind w:left="3597" w:hanging="360"/>
      </w:pPr>
      <w:rPr>
        <w:rFonts w:ascii="Courier New" w:hAnsi="Courier New" w:hint="default"/>
      </w:rPr>
    </w:lvl>
    <w:lvl w:ilvl="2" w:tplc="04070005" w:tentative="1">
      <w:start w:val="1"/>
      <w:numFmt w:val="bullet"/>
      <w:lvlText w:val=""/>
      <w:lvlJc w:val="left"/>
      <w:pPr>
        <w:tabs>
          <w:tab w:val="num" w:pos="4317"/>
        </w:tabs>
        <w:ind w:left="4317" w:hanging="360"/>
      </w:pPr>
      <w:rPr>
        <w:rFonts w:ascii="Wingdings" w:hAnsi="Wingdings" w:hint="default"/>
      </w:rPr>
    </w:lvl>
    <w:lvl w:ilvl="3" w:tplc="04070001" w:tentative="1">
      <w:start w:val="1"/>
      <w:numFmt w:val="bullet"/>
      <w:lvlText w:val=""/>
      <w:lvlJc w:val="left"/>
      <w:pPr>
        <w:tabs>
          <w:tab w:val="num" w:pos="5037"/>
        </w:tabs>
        <w:ind w:left="5037" w:hanging="360"/>
      </w:pPr>
      <w:rPr>
        <w:rFonts w:ascii="Symbol" w:hAnsi="Symbol" w:hint="default"/>
      </w:rPr>
    </w:lvl>
    <w:lvl w:ilvl="4" w:tplc="04070003" w:tentative="1">
      <w:start w:val="1"/>
      <w:numFmt w:val="bullet"/>
      <w:lvlText w:val="o"/>
      <w:lvlJc w:val="left"/>
      <w:pPr>
        <w:tabs>
          <w:tab w:val="num" w:pos="5757"/>
        </w:tabs>
        <w:ind w:left="5757" w:hanging="360"/>
      </w:pPr>
      <w:rPr>
        <w:rFonts w:ascii="Courier New" w:hAnsi="Courier New" w:hint="default"/>
      </w:rPr>
    </w:lvl>
    <w:lvl w:ilvl="5" w:tplc="04070005" w:tentative="1">
      <w:start w:val="1"/>
      <w:numFmt w:val="bullet"/>
      <w:lvlText w:val=""/>
      <w:lvlJc w:val="left"/>
      <w:pPr>
        <w:tabs>
          <w:tab w:val="num" w:pos="6477"/>
        </w:tabs>
        <w:ind w:left="6477" w:hanging="360"/>
      </w:pPr>
      <w:rPr>
        <w:rFonts w:ascii="Wingdings" w:hAnsi="Wingdings" w:hint="default"/>
      </w:rPr>
    </w:lvl>
    <w:lvl w:ilvl="6" w:tplc="04070001" w:tentative="1">
      <w:start w:val="1"/>
      <w:numFmt w:val="bullet"/>
      <w:lvlText w:val=""/>
      <w:lvlJc w:val="left"/>
      <w:pPr>
        <w:tabs>
          <w:tab w:val="num" w:pos="7197"/>
        </w:tabs>
        <w:ind w:left="7197" w:hanging="360"/>
      </w:pPr>
      <w:rPr>
        <w:rFonts w:ascii="Symbol" w:hAnsi="Symbol" w:hint="default"/>
      </w:rPr>
    </w:lvl>
    <w:lvl w:ilvl="7" w:tplc="04070003" w:tentative="1">
      <w:start w:val="1"/>
      <w:numFmt w:val="bullet"/>
      <w:lvlText w:val="o"/>
      <w:lvlJc w:val="left"/>
      <w:pPr>
        <w:tabs>
          <w:tab w:val="num" w:pos="7917"/>
        </w:tabs>
        <w:ind w:left="7917" w:hanging="360"/>
      </w:pPr>
      <w:rPr>
        <w:rFonts w:ascii="Courier New" w:hAnsi="Courier New" w:hint="default"/>
      </w:rPr>
    </w:lvl>
    <w:lvl w:ilvl="8" w:tplc="04070005" w:tentative="1">
      <w:start w:val="1"/>
      <w:numFmt w:val="bullet"/>
      <w:lvlText w:val=""/>
      <w:lvlJc w:val="left"/>
      <w:pPr>
        <w:tabs>
          <w:tab w:val="num" w:pos="8637"/>
        </w:tabs>
        <w:ind w:left="8637" w:hanging="360"/>
      </w:pPr>
      <w:rPr>
        <w:rFonts w:ascii="Wingdings" w:hAnsi="Wingdings" w:hint="default"/>
      </w:rPr>
    </w:lvl>
  </w:abstractNum>
  <w:abstractNum w:abstractNumId="2">
    <w:nsid w:val="42226091"/>
    <w:multiLevelType w:val="hybridMultilevel"/>
    <w:tmpl w:val="BA4C8BC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5B481124"/>
    <w:multiLevelType w:val="hybridMultilevel"/>
    <w:tmpl w:val="A7F291C8"/>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830"/>
    <w:rsid w:val="00005FA7"/>
    <w:rsid w:val="000103A5"/>
    <w:rsid w:val="00012171"/>
    <w:rsid w:val="00012514"/>
    <w:rsid w:val="00014400"/>
    <w:rsid w:val="0003734C"/>
    <w:rsid w:val="000409ED"/>
    <w:rsid w:val="000463F2"/>
    <w:rsid w:val="00083C86"/>
    <w:rsid w:val="00097C7E"/>
    <w:rsid w:val="000A37E3"/>
    <w:rsid w:val="000A68CD"/>
    <w:rsid w:val="000B4808"/>
    <w:rsid w:val="000B6620"/>
    <w:rsid w:val="000D057C"/>
    <w:rsid w:val="00132FAC"/>
    <w:rsid w:val="0014084B"/>
    <w:rsid w:val="001657B1"/>
    <w:rsid w:val="00180848"/>
    <w:rsid w:val="00194CC5"/>
    <w:rsid w:val="001D7E9E"/>
    <w:rsid w:val="001E0BFE"/>
    <w:rsid w:val="001E132D"/>
    <w:rsid w:val="001F5935"/>
    <w:rsid w:val="002137C9"/>
    <w:rsid w:val="00235E15"/>
    <w:rsid w:val="002435A2"/>
    <w:rsid w:val="00277A22"/>
    <w:rsid w:val="00280715"/>
    <w:rsid w:val="002E0158"/>
    <w:rsid w:val="002E29FC"/>
    <w:rsid w:val="002E49F5"/>
    <w:rsid w:val="002E726E"/>
    <w:rsid w:val="00306E6A"/>
    <w:rsid w:val="00330E54"/>
    <w:rsid w:val="003439F1"/>
    <w:rsid w:val="00362372"/>
    <w:rsid w:val="003975E4"/>
    <w:rsid w:val="003D1DFD"/>
    <w:rsid w:val="003D5DBB"/>
    <w:rsid w:val="003E78F2"/>
    <w:rsid w:val="004246AB"/>
    <w:rsid w:val="00434874"/>
    <w:rsid w:val="00440579"/>
    <w:rsid w:val="004415C4"/>
    <w:rsid w:val="00455004"/>
    <w:rsid w:val="00462D77"/>
    <w:rsid w:val="004640CD"/>
    <w:rsid w:val="00467787"/>
    <w:rsid w:val="00470D8E"/>
    <w:rsid w:val="00491AE9"/>
    <w:rsid w:val="00491B37"/>
    <w:rsid w:val="00496902"/>
    <w:rsid w:val="004C0D55"/>
    <w:rsid w:val="004D0884"/>
    <w:rsid w:val="004F5ED1"/>
    <w:rsid w:val="005077F3"/>
    <w:rsid w:val="00510FAC"/>
    <w:rsid w:val="00523AD3"/>
    <w:rsid w:val="0053699C"/>
    <w:rsid w:val="00553227"/>
    <w:rsid w:val="00554A2C"/>
    <w:rsid w:val="005553B9"/>
    <w:rsid w:val="0055550D"/>
    <w:rsid w:val="005925F0"/>
    <w:rsid w:val="005B2E95"/>
    <w:rsid w:val="005B623E"/>
    <w:rsid w:val="005C4AAE"/>
    <w:rsid w:val="005D71CD"/>
    <w:rsid w:val="005E30B3"/>
    <w:rsid w:val="005E6BEE"/>
    <w:rsid w:val="005F28F9"/>
    <w:rsid w:val="00621111"/>
    <w:rsid w:val="00622E51"/>
    <w:rsid w:val="00644937"/>
    <w:rsid w:val="00651B55"/>
    <w:rsid w:val="00653273"/>
    <w:rsid w:val="00662AAF"/>
    <w:rsid w:val="00667F67"/>
    <w:rsid w:val="00693153"/>
    <w:rsid w:val="006A4408"/>
    <w:rsid w:val="006C3D83"/>
    <w:rsid w:val="006F20EE"/>
    <w:rsid w:val="006F5A55"/>
    <w:rsid w:val="00701066"/>
    <w:rsid w:val="0071680D"/>
    <w:rsid w:val="00720152"/>
    <w:rsid w:val="007323E0"/>
    <w:rsid w:val="00765FD2"/>
    <w:rsid w:val="007B38E0"/>
    <w:rsid w:val="007B509E"/>
    <w:rsid w:val="007C6B99"/>
    <w:rsid w:val="007D3252"/>
    <w:rsid w:val="007F4839"/>
    <w:rsid w:val="008141A0"/>
    <w:rsid w:val="0082301A"/>
    <w:rsid w:val="008272C7"/>
    <w:rsid w:val="008277A0"/>
    <w:rsid w:val="00857F7F"/>
    <w:rsid w:val="008720A7"/>
    <w:rsid w:val="00880A9B"/>
    <w:rsid w:val="008908E0"/>
    <w:rsid w:val="00892FA7"/>
    <w:rsid w:val="00893446"/>
    <w:rsid w:val="008A45DC"/>
    <w:rsid w:val="008F53D2"/>
    <w:rsid w:val="00920F91"/>
    <w:rsid w:val="00943C4D"/>
    <w:rsid w:val="0094775E"/>
    <w:rsid w:val="00952A7C"/>
    <w:rsid w:val="009602E5"/>
    <w:rsid w:val="00987D3C"/>
    <w:rsid w:val="009A21ED"/>
    <w:rsid w:val="009B7D11"/>
    <w:rsid w:val="009D6061"/>
    <w:rsid w:val="00A047E4"/>
    <w:rsid w:val="00A11A72"/>
    <w:rsid w:val="00A22708"/>
    <w:rsid w:val="00A26BB2"/>
    <w:rsid w:val="00A35035"/>
    <w:rsid w:val="00A52CE1"/>
    <w:rsid w:val="00A70928"/>
    <w:rsid w:val="00A815E8"/>
    <w:rsid w:val="00A83526"/>
    <w:rsid w:val="00AA2FB9"/>
    <w:rsid w:val="00AA4D7F"/>
    <w:rsid w:val="00AC2265"/>
    <w:rsid w:val="00AD2115"/>
    <w:rsid w:val="00AD7888"/>
    <w:rsid w:val="00B00523"/>
    <w:rsid w:val="00B15A85"/>
    <w:rsid w:val="00B27C6E"/>
    <w:rsid w:val="00B40B3B"/>
    <w:rsid w:val="00B43596"/>
    <w:rsid w:val="00B625E7"/>
    <w:rsid w:val="00B84BDD"/>
    <w:rsid w:val="00BB6E9C"/>
    <w:rsid w:val="00BC1645"/>
    <w:rsid w:val="00BC3D77"/>
    <w:rsid w:val="00BD12EE"/>
    <w:rsid w:val="00BD5244"/>
    <w:rsid w:val="00C026BF"/>
    <w:rsid w:val="00C34209"/>
    <w:rsid w:val="00C5210D"/>
    <w:rsid w:val="00C73DDF"/>
    <w:rsid w:val="00C77A30"/>
    <w:rsid w:val="00C83D9F"/>
    <w:rsid w:val="00CA7092"/>
    <w:rsid w:val="00CC5D8F"/>
    <w:rsid w:val="00D11920"/>
    <w:rsid w:val="00D3679A"/>
    <w:rsid w:val="00D56828"/>
    <w:rsid w:val="00D62CF2"/>
    <w:rsid w:val="00D86830"/>
    <w:rsid w:val="00DA7364"/>
    <w:rsid w:val="00DB3130"/>
    <w:rsid w:val="00DC5DC9"/>
    <w:rsid w:val="00DE1A6E"/>
    <w:rsid w:val="00DE6D5B"/>
    <w:rsid w:val="00DF380D"/>
    <w:rsid w:val="00DF67F9"/>
    <w:rsid w:val="00E0039F"/>
    <w:rsid w:val="00E00A6B"/>
    <w:rsid w:val="00E010CB"/>
    <w:rsid w:val="00E123A5"/>
    <w:rsid w:val="00E13B82"/>
    <w:rsid w:val="00E23559"/>
    <w:rsid w:val="00E25F66"/>
    <w:rsid w:val="00E323E7"/>
    <w:rsid w:val="00E726A9"/>
    <w:rsid w:val="00E76BD1"/>
    <w:rsid w:val="00E81C7F"/>
    <w:rsid w:val="00E82BEB"/>
    <w:rsid w:val="00E90C2D"/>
    <w:rsid w:val="00EB0059"/>
    <w:rsid w:val="00EB654C"/>
    <w:rsid w:val="00EC265E"/>
    <w:rsid w:val="00EC2A31"/>
    <w:rsid w:val="00EC52C9"/>
    <w:rsid w:val="00ED46D2"/>
    <w:rsid w:val="00ED4DAC"/>
    <w:rsid w:val="00F01B27"/>
    <w:rsid w:val="00F07077"/>
    <w:rsid w:val="00F41119"/>
    <w:rsid w:val="00F419E6"/>
    <w:rsid w:val="00F5208E"/>
    <w:rsid w:val="00F56D0E"/>
    <w:rsid w:val="00F60475"/>
    <w:rsid w:val="00F60DBF"/>
    <w:rsid w:val="00F7075A"/>
    <w:rsid w:val="00F81E63"/>
    <w:rsid w:val="00FA02A4"/>
    <w:rsid w:val="00FA6D54"/>
    <w:rsid w:val="00FB5F57"/>
    <w:rsid w:val="00FD542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6830"/>
    <w:pPr>
      <w:spacing w:after="200" w:line="276" w:lineRule="auto"/>
    </w:pPr>
    <w:rPr>
      <w:rFonts w:ascii="Georgia" w:hAnsi="Georgia"/>
      <w:sz w:val="20"/>
      <w:lang w:eastAsia="en-US"/>
    </w:rPr>
  </w:style>
  <w:style w:type="paragraph" w:styleId="berschrift1">
    <w:name w:val="heading 1"/>
    <w:basedOn w:val="Standard"/>
    <w:next w:val="Standard"/>
    <w:link w:val="berschrift1Zchn"/>
    <w:uiPriority w:val="99"/>
    <w:qFormat/>
    <w:rsid w:val="004246AB"/>
    <w:pPr>
      <w:keepNext/>
      <w:tabs>
        <w:tab w:val="left" w:pos="1605"/>
      </w:tabs>
      <w:spacing w:after="120" w:line="240" w:lineRule="auto"/>
      <w:jc w:val="center"/>
      <w:outlineLvl w:val="0"/>
    </w:pPr>
    <w:rPr>
      <w:rFonts w:ascii="Arial" w:hAnsi="Arial"/>
      <w:b/>
      <w:i/>
      <w:szCs w:val="24"/>
      <w:lang w:val="de-DE" w:eastAsia="de-DE"/>
    </w:rPr>
  </w:style>
  <w:style w:type="paragraph" w:styleId="berschrift2">
    <w:name w:val="heading 2"/>
    <w:basedOn w:val="Standard"/>
    <w:next w:val="Standard"/>
    <w:link w:val="berschrift2Zchn"/>
    <w:uiPriority w:val="99"/>
    <w:qFormat/>
    <w:rsid w:val="00D3679A"/>
    <w:pPr>
      <w:keepNext/>
      <w:spacing w:before="240" w:after="60" w:line="240" w:lineRule="auto"/>
      <w:outlineLvl w:val="1"/>
    </w:pPr>
    <w:rPr>
      <w:rFonts w:ascii="Cambria" w:hAnsi="Cambria"/>
      <w:b/>
      <w:bCs/>
      <w:i/>
      <w:iCs/>
      <w:sz w:val="28"/>
      <w:szCs w:val="2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sz w:val="32"/>
      <w:szCs w:val="32"/>
      <w:lang w:eastAsia="en-US"/>
    </w:rPr>
  </w:style>
  <w:style w:type="character" w:customStyle="1" w:styleId="berschrift2Zchn">
    <w:name w:val="Überschrift 2 Zchn"/>
    <w:basedOn w:val="Absatz-Standardschriftart"/>
    <w:link w:val="berschrift2"/>
    <w:uiPriority w:val="99"/>
    <w:semiHidden/>
    <w:locked/>
    <w:rsid w:val="00D3679A"/>
    <w:rPr>
      <w:rFonts w:ascii="Cambria" w:hAnsi="Cambria" w:cs="Times New Roman"/>
      <w:b/>
      <w:i/>
      <w:sz w:val="28"/>
    </w:rPr>
  </w:style>
  <w:style w:type="paragraph" w:styleId="Textkrper-Zeileneinzug">
    <w:name w:val="Body Text Indent"/>
    <w:basedOn w:val="Standard"/>
    <w:link w:val="Textkrper-ZeileneinzugZchn"/>
    <w:uiPriority w:val="99"/>
    <w:rsid w:val="004246AB"/>
    <w:pPr>
      <w:tabs>
        <w:tab w:val="left" w:pos="1980"/>
      </w:tabs>
      <w:spacing w:after="0" w:line="240" w:lineRule="auto"/>
      <w:ind w:left="1980" w:hanging="1980"/>
    </w:pPr>
    <w:rPr>
      <w:rFonts w:ascii="Arial" w:hAnsi="Arial"/>
      <w:sz w:val="22"/>
      <w:szCs w:val="24"/>
      <w:lang w:val="de-DE" w:eastAsia="de-DE"/>
    </w:rPr>
  </w:style>
  <w:style w:type="character" w:customStyle="1" w:styleId="Textkrper-ZeileneinzugZchn">
    <w:name w:val="Textkörper-Zeileneinzug Zchn"/>
    <w:basedOn w:val="Absatz-Standardschriftart"/>
    <w:link w:val="Textkrper-Zeileneinzug"/>
    <w:uiPriority w:val="99"/>
    <w:semiHidden/>
    <w:locked/>
    <w:rPr>
      <w:rFonts w:ascii="Georgia" w:hAnsi="Georgia" w:cs="Times New Roman"/>
      <w:sz w:val="20"/>
      <w:lang w:eastAsia="en-US"/>
    </w:rPr>
  </w:style>
  <w:style w:type="paragraph" w:styleId="Sprechblasentext">
    <w:name w:val="Balloon Text"/>
    <w:basedOn w:val="Standard"/>
    <w:link w:val="SprechblasentextZchn"/>
    <w:uiPriority w:val="99"/>
    <w:semiHidden/>
    <w:rsid w:val="002E015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lang w:eastAsia="en-US"/>
    </w:rPr>
  </w:style>
  <w:style w:type="character" w:styleId="Hyperlink">
    <w:name w:val="Hyperlink"/>
    <w:basedOn w:val="Absatz-Standardschriftart"/>
    <w:uiPriority w:val="99"/>
    <w:rsid w:val="00BD12EE"/>
    <w:rPr>
      <w:rFonts w:cs="Times New Roman"/>
      <w:color w:val="0000FF"/>
      <w:u w:val="single"/>
    </w:rPr>
  </w:style>
  <w:style w:type="paragraph" w:styleId="Kopfzeile">
    <w:name w:val="header"/>
    <w:basedOn w:val="Standard"/>
    <w:link w:val="KopfzeileZchn"/>
    <w:uiPriority w:val="99"/>
    <w:rsid w:val="003439F1"/>
    <w:pPr>
      <w:tabs>
        <w:tab w:val="center" w:pos="4536"/>
        <w:tab w:val="right" w:pos="9072"/>
      </w:tabs>
      <w:spacing w:after="0" w:line="240" w:lineRule="auto"/>
    </w:pPr>
    <w:rPr>
      <w:rFonts w:ascii="Arial" w:hAnsi="Arial"/>
      <w:sz w:val="22"/>
      <w:lang w:eastAsia="de-CH"/>
    </w:rPr>
  </w:style>
  <w:style w:type="character" w:customStyle="1" w:styleId="KopfzeileZchn">
    <w:name w:val="Kopfzeile Zchn"/>
    <w:basedOn w:val="Absatz-Standardschriftart"/>
    <w:link w:val="Kopfzeile"/>
    <w:uiPriority w:val="99"/>
    <w:locked/>
    <w:rsid w:val="003439F1"/>
    <w:rPr>
      <w:rFonts w:ascii="Arial" w:hAnsi="Arial" w:cs="Times New Roman"/>
      <w:sz w:val="22"/>
    </w:rPr>
  </w:style>
  <w:style w:type="paragraph" w:styleId="Fuzeile">
    <w:name w:val="footer"/>
    <w:basedOn w:val="Standard"/>
    <w:link w:val="FuzeileZchn"/>
    <w:uiPriority w:val="99"/>
    <w:rsid w:val="003439F1"/>
    <w:pPr>
      <w:tabs>
        <w:tab w:val="center" w:pos="4536"/>
        <w:tab w:val="right" w:pos="9072"/>
      </w:tabs>
      <w:spacing w:after="0" w:line="240" w:lineRule="auto"/>
    </w:pPr>
    <w:rPr>
      <w:rFonts w:ascii="Arial" w:hAnsi="Arial"/>
      <w:sz w:val="22"/>
      <w:lang w:eastAsia="de-CH"/>
    </w:rPr>
  </w:style>
  <w:style w:type="character" w:customStyle="1" w:styleId="FuzeileZchn">
    <w:name w:val="Fußzeile Zchn"/>
    <w:basedOn w:val="Absatz-Standardschriftart"/>
    <w:link w:val="Fuzeile"/>
    <w:uiPriority w:val="99"/>
    <w:locked/>
    <w:rsid w:val="003439F1"/>
    <w:rPr>
      <w:rFonts w:ascii="Arial" w:hAnsi="Arial" w:cs="Times New Roman"/>
      <w:sz w:val="22"/>
    </w:rPr>
  </w:style>
  <w:style w:type="paragraph" w:customStyle="1" w:styleId="Formatvorlage1">
    <w:name w:val="Formatvorlage1"/>
    <w:basedOn w:val="Standard"/>
    <w:uiPriority w:val="99"/>
    <w:rsid w:val="008141A0"/>
    <w:pPr>
      <w:spacing w:after="0" w:line="240" w:lineRule="auto"/>
    </w:pPr>
    <w:rPr>
      <w:rFonts w:ascii="Arial" w:hAnsi="Arial"/>
      <w:sz w:val="22"/>
      <w:szCs w:val="24"/>
      <w:lang w:eastAsia="de-DE"/>
    </w:rPr>
  </w:style>
  <w:style w:type="paragraph" w:styleId="Textkrper">
    <w:name w:val="Body Text"/>
    <w:basedOn w:val="Standard"/>
    <w:link w:val="TextkrperZchn"/>
    <w:uiPriority w:val="99"/>
    <w:semiHidden/>
    <w:rsid w:val="00D3679A"/>
    <w:pPr>
      <w:spacing w:after="120" w:line="240" w:lineRule="auto"/>
    </w:pPr>
    <w:rPr>
      <w:rFonts w:ascii="Arial" w:hAnsi="Arial"/>
      <w:sz w:val="22"/>
      <w:lang w:eastAsia="de-CH"/>
    </w:rPr>
  </w:style>
  <w:style w:type="character" w:customStyle="1" w:styleId="TextkrperZchn">
    <w:name w:val="Textkörper Zchn"/>
    <w:basedOn w:val="Absatz-Standardschriftart"/>
    <w:link w:val="Textkrper"/>
    <w:uiPriority w:val="99"/>
    <w:semiHidden/>
    <w:locked/>
    <w:rsid w:val="00D3679A"/>
    <w:rPr>
      <w:rFonts w:ascii="Arial" w:hAnsi="Arial" w:cs="Times New Roman"/>
      <w:sz w:val="22"/>
    </w:rPr>
  </w:style>
  <w:style w:type="table" w:styleId="Tabellenraster">
    <w:name w:val="Table Grid"/>
    <w:basedOn w:val="NormaleTabelle"/>
    <w:uiPriority w:val="99"/>
    <w:rsid w:val="00D86830"/>
    <w:rPr>
      <w:rFonts w:ascii="Georgia" w:hAnsi="Georgia"/>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rsid w:val="00E82BEB"/>
    <w:rPr>
      <w:rFonts w:cs="Times New Roman"/>
      <w:sz w:val="16"/>
      <w:szCs w:val="16"/>
    </w:rPr>
  </w:style>
  <w:style w:type="paragraph" w:styleId="Kommentartext">
    <w:name w:val="annotation text"/>
    <w:basedOn w:val="Standard"/>
    <w:link w:val="KommentartextZchn"/>
    <w:uiPriority w:val="99"/>
    <w:semiHidden/>
    <w:rsid w:val="00E82BEB"/>
    <w:pPr>
      <w:spacing w:line="240" w:lineRule="auto"/>
    </w:pPr>
    <w:rPr>
      <w:szCs w:val="20"/>
    </w:rPr>
  </w:style>
  <w:style w:type="character" w:customStyle="1" w:styleId="KommentartextZchn">
    <w:name w:val="Kommentartext Zchn"/>
    <w:basedOn w:val="Absatz-Standardschriftart"/>
    <w:link w:val="Kommentartext"/>
    <w:uiPriority w:val="99"/>
    <w:semiHidden/>
    <w:locked/>
    <w:rsid w:val="00E82BEB"/>
    <w:rPr>
      <w:rFonts w:ascii="Georgia" w:hAnsi="Georgia" w:cs="Times New Roman"/>
      <w:lang w:eastAsia="en-US"/>
    </w:rPr>
  </w:style>
  <w:style w:type="paragraph" w:styleId="Kommentarthema">
    <w:name w:val="annotation subject"/>
    <w:basedOn w:val="Kommentartext"/>
    <w:next w:val="Kommentartext"/>
    <w:link w:val="KommentarthemaZchn"/>
    <w:uiPriority w:val="99"/>
    <w:semiHidden/>
    <w:rsid w:val="00E82BEB"/>
    <w:rPr>
      <w:b/>
      <w:bCs/>
    </w:rPr>
  </w:style>
  <w:style w:type="character" w:customStyle="1" w:styleId="KommentarthemaZchn">
    <w:name w:val="Kommentarthema Zchn"/>
    <w:basedOn w:val="KommentartextZchn"/>
    <w:link w:val="Kommentarthema"/>
    <w:uiPriority w:val="99"/>
    <w:semiHidden/>
    <w:locked/>
    <w:rsid w:val="00E82BEB"/>
    <w:rPr>
      <w:rFonts w:ascii="Georgia" w:hAnsi="Georgia" w:cs="Times New Roman"/>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6830"/>
    <w:pPr>
      <w:spacing w:after="200" w:line="276" w:lineRule="auto"/>
    </w:pPr>
    <w:rPr>
      <w:rFonts w:ascii="Georgia" w:hAnsi="Georgia"/>
      <w:sz w:val="20"/>
      <w:lang w:eastAsia="en-US"/>
    </w:rPr>
  </w:style>
  <w:style w:type="paragraph" w:styleId="berschrift1">
    <w:name w:val="heading 1"/>
    <w:basedOn w:val="Standard"/>
    <w:next w:val="Standard"/>
    <w:link w:val="berschrift1Zchn"/>
    <w:uiPriority w:val="99"/>
    <w:qFormat/>
    <w:rsid w:val="004246AB"/>
    <w:pPr>
      <w:keepNext/>
      <w:tabs>
        <w:tab w:val="left" w:pos="1605"/>
      </w:tabs>
      <w:spacing w:after="120" w:line="240" w:lineRule="auto"/>
      <w:jc w:val="center"/>
      <w:outlineLvl w:val="0"/>
    </w:pPr>
    <w:rPr>
      <w:rFonts w:ascii="Arial" w:hAnsi="Arial"/>
      <w:b/>
      <w:i/>
      <w:szCs w:val="24"/>
      <w:lang w:val="de-DE" w:eastAsia="de-DE"/>
    </w:rPr>
  </w:style>
  <w:style w:type="paragraph" w:styleId="berschrift2">
    <w:name w:val="heading 2"/>
    <w:basedOn w:val="Standard"/>
    <w:next w:val="Standard"/>
    <w:link w:val="berschrift2Zchn"/>
    <w:uiPriority w:val="99"/>
    <w:qFormat/>
    <w:rsid w:val="00D3679A"/>
    <w:pPr>
      <w:keepNext/>
      <w:spacing w:before="240" w:after="60" w:line="240" w:lineRule="auto"/>
      <w:outlineLvl w:val="1"/>
    </w:pPr>
    <w:rPr>
      <w:rFonts w:ascii="Cambria" w:hAnsi="Cambria"/>
      <w:b/>
      <w:bCs/>
      <w:i/>
      <w:iCs/>
      <w:sz w:val="28"/>
      <w:szCs w:val="2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sz w:val="32"/>
      <w:szCs w:val="32"/>
      <w:lang w:eastAsia="en-US"/>
    </w:rPr>
  </w:style>
  <w:style w:type="character" w:customStyle="1" w:styleId="berschrift2Zchn">
    <w:name w:val="Überschrift 2 Zchn"/>
    <w:basedOn w:val="Absatz-Standardschriftart"/>
    <w:link w:val="berschrift2"/>
    <w:uiPriority w:val="99"/>
    <w:semiHidden/>
    <w:locked/>
    <w:rsid w:val="00D3679A"/>
    <w:rPr>
      <w:rFonts w:ascii="Cambria" w:hAnsi="Cambria" w:cs="Times New Roman"/>
      <w:b/>
      <w:i/>
      <w:sz w:val="28"/>
    </w:rPr>
  </w:style>
  <w:style w:type="paragraph" w:styleId="Textkrper-Zeileneinzug">
    <w:name w:val="Body Text Indent"/>
    <w:basedOn w:val="Standard"/>
    <w:link w:val="Textkrper-ZeileneinzugZchn"/>
    <w:uiPriority w:val="99"/>
    <w:rsid w:val="004246AB"/>
    <w:pPr>
      <w:tabs>
        <w:tab w:val="left" w:pos="1980"/>
      </w:tabs>
      <w:spacing w:after="0" w:line="240" w:lineRule="auto"/>
      <w:ind w:left="1980" w:hanging="1980"/>
    </w:pPr>
    <w:rPr>
      <w:rFonts w:ascii="Arial" w:hAnsi="Arial"/>
      <w:sz w:val="22"/>
      <w:szCs w:val="24"/>
      <w:lang w:val="de-DE" w:eastAsia="de-DE"/>
    </w:rPr>
  </w:style>
  <w:style w:type="character" w:customStyle="1" w:styleId="Textkrper-ZeileneinzugZchn">
    <w:name w:val="Textkörper-Zeileneinzug Zchn"/>
    <w:basedOn w:val="Absatz-Standardschriftart"/>
    <w:link w:val="Textkrper-Zeileneinzug"/>
    <w:uiPriority w:val="99"/>
    <w:semiHidden/>
    <w:locked/>
    <w:rPr>
      <w:rFonts w:ascii="Georgia" w:hAnsi="Georgia" w:cs="Times New Roman"/>
      <w:sz w:val="20"/>
      <w:lang w:eastAsia="en-US"/>
    </w:rPr>
  </w:style>
  <w:style w:type="paragraph" w:styleId="Sprechblasentext">
    <w:name w:val="Balloon Text"/>
    <w:basedOn w:val="Standard"/>
    <w:link w:val="SprechblasentextZchn"/>
    <w:uiPriority w:val="99"/>
    <w:semiHidden/>
    <w:rsid w:val="002E015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lang w:eastAsia="en-US"/>
    </w:rPr>
  </w:style>
  <w:style w:type="character" w:styleId="Hyperlink">
    <w:name w:val="Hyperlink"/>
    <w:basedOn w:val="Absatz-Standardschriftart"/>
    <w:uiPriority w:val="99"/>
    <w:rsid w:val="00BD12EE"/>
    <w:rPr>
      <w:rFonts w:cs="Times New Roman"/>
      <w:color w:val="0000FF"/>
      <w:u w:val="single"/>
    </w:rPr>
  </w:style>
  <w:style w:type="paragraph" w:styleId="Kopfzeile">
    <w:name w:val="header"/>
    <w:basedOn w:val="Standard"/>
    <w:link w:val="KopfzeileZchn"/>
    <w:uiPriority w:val="99"/>
    <w:rsid w:val="003439F1"/>
    <w:pPr>
      <w:tabs>
        <w:tab w:val="center" w:pos="4536"/>
        <w:tab w:val="right" w:pos="9072"/>
      </w:tabs>
      <w:spacing w:after="0" w:line="240" w:lineRule="auto"/>
    </w:pPr>
    <w:rPr>
      <w:rFonts w:ascii="Arial" w:hAnsi="Arial"/>
      <w:sz w:val="22"/>
      <w:lang w:eastAsia="de-CH"/>
    </w:rPr>
  </w:style>
  <w:style w:type="character" w:customStyle="1" w:styleId="KopfzeileZchn">
    <w:name w:val="Kopfzeile Zchn"/>
    <w:basedOn w:val="Absatz-Standardschriftart"/>
    <w:link w:val="Kopfzeile"/>
    <w:uiPriority w:val="99"/>
    <w:locked/>
    <w:rsid w:val="003439F1"/>
    <w:rPr>
      <w:rFonts w:ascii="Arial" w:hAnsi="Arial" w:cs="Times New Roman"/>
      <w:sz w:val="22"/>
    </w:rPr>
  </w:style>
  <w:style w:type="paragraph" w:styleId="Fuzeile">
    <w:name w:val="footer"/>
    <w:basedOn w:val="Standard"/>
    <w:link w:val="FuzeileZchn"/>
    <w:uiPriority w:val="99"/>
    <w:rsid w:val="003439F1"/>
    <w:pPr>
      <w:tabs>
        <w:tab w:val="center" w:pos="4536"/>
        <w:tab w:val="right" w:pos="9072"/>
      </w:tabs>
      <w:spacing w:after="0" w:line="240" w:lineRule="auto"/>
    </w:pPr>
    <w:rPr>
      <w:rFonts w:ascii="Arial" w:hAnsi="Arial"/>
      <w:sz w:val="22"/>
      <w:lang w:eastAsia="de-CH"/>
    </w:rPr>
  </w:style>
  <w:style w:type="character" w:customStyle="1" w:styleId="FuzeileZchn">
    <w:name w:val="Fußzeile Zchn"/>
    <w:basedOn w:val="Absatz-Standardschriftart"/>
    <w:link w:val="Fuzeile"/>
    <w:uiPriority w:val="99"/>
    <w:locked/>
    <w:rsid w:val="003439F1"/>
    <w:rPr>
      <w:rFonts w:ascii="Arial" w:hAnsi="Arial" w:cs="Times New Roman"/>
      <w:sz w:val="22"/>
    </w:rPr>
  </w:style>
  <w:style w:type="paragraph" w:customStyle="1" w:styleId="Formatvorlage1">
    <w:name w:val="Formatvorlage1"/>
    <w:basedOn w:val="Standard"/>
    <w:uiPriority w:val="99"/>
    <w:rsid w:val="008141A0"/>
    <w:pPr>
      <w:spacing w:after="0" w:line="240" w:lineRule="auto"/>
    </w:pPr>
    <w:rPr>
      <w:rFonts w:ascii="Arial" w:hAnsi="Arial"/>
      <w:sz w:val="22"/>
      <w:szCs w:val="24"/>
      <w:lang w:eastAsia="de-DE"/>
    </w:rPr>
  </w:style>
  <w:style w:type="paragraph" w:styleId="Textkrper">
    <w:name w:val="Body Text"/>
    <w:basedOn w:val="Standard"/>
    <w:link w:val="TextkrperZchn"/>
    <w:uiPriority w:val="99"/>
    <w:semiHidden/>
    <w:rsid w:val="00D3679A"/>
    <w:pPr>
      <w:spacing w:after="120" w:line="240" w:lineRule="auto"/>
    </w:pPr>
    <w:rPr>
      <w:rFonts w:ascii="Arial" w:hAnsi="Arial"/>
      <w:sz w:val="22"/>
      <w:lang w:eastAsia="de-CH"/>
    </w:rPr>
  </w:style>
  <w:style w:type="character" w:customStyle="1" w:styleId="TextkrperZchn">
    <w:name w:val="Textkörper Zchn"/>
    <w:basedOn w:val="Absatz-Standardschriftart"/>
    <w:link w:val="Textkrper"/>
    <w:uiPriority w:val="99"/>
    <w:semiHidden/>
    <w:locked/>
    <w:rsid w:val="00D3679A"/>
    <w:rPr>
      <w:rFonts w:ascii="Arial" w:hAnsi="Arial" w:cs="Times New Roman"/>
      <w:sz w:val="22"/>
    </w:rPr>
  </w:style>
  <w:style w:type="table" w:styleId="Tabellenraster">
    <w:name w:val="Table Grid"/>
    <w:basedOn w:val="NormaleTabelle"/>
    <w:uiPriority w:val="99"/>
    <w:rsid w:val="00D86830"/>
    <w:rPr>
      <w:rFonts w:ascii="Georgia" w:hAnsi="Georgia"/>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rsid w:val="00E82BEB"/>
    <w:rPr>
      <w:rFonts w:cs="Times New Roman"/>
      <w:sz w:val="16"/>
      <w:szCs w:val="16"/>
    </w:rPr>
  </w:style>
  <w:style w:type="paragraph" w:styleId="Kommentartext">
    <w:name w:val="annotation text"/>
    <w:basedOn w:val="Standard"/>
    <w:link w:val="KommentartextZchn"/>
    <w:uiPriority w:val="99"/>
    <w:semiHidden/>
    <w:rsid w:val="00E82BEB"/>
    <w:pPr>
      <w:spacing w:line="240" w:lineRule="auto"/>
    </w:pPr>
    <w:rPr>
      <w:szCs w:val="20"/>
    </w:rPr>
  </w:style>
  <w:style w:type="character" w:customStyle="1" w:styleId="KommentartextZchn">
    <w:name w:val="Kommentartext Zchn"/>
    <w:basedOn w:val="Absatz-Standardschriftart"/>
    <w:link w:val="Kommentartext"/>
    <w:uiPriority w:val="99"/>
    <w:semiHidden/>
    <w:locked/>
    <w:rsid w:val="00E82BEB"/>
    <w:rPr>
      <w:rFonts w:ascii="Georgia" w:hAnsi="Georgia" w:cs="Times New Roman"/>
      <w:lang w:eastAsia="en-US"/>
    </w:rPr>
  </w:style>
  <w:style w:type="paragraph" w:styleId="Kommentarthema">
    <w:name w:val="annotation subject"/>
    <w:basedOn w:val="Kommentartext"/>
    <w:next w:val="Kommentartext"/>
    <w:link w:val="KommentarthemaZchn"/>
    <w:uiPriority w:val="99"/>
    <w:semiHidden/>
    <w:rsid w:val="00E82BEB"/>
    <w:rPr>
      <w:b/>
      <w:bCs/>
    </w:rPr>
  </w:style>
  <w:style w:type="character" w:customStyle="1" w:styleId="KommentarthemaZchn">
    <w:name w:val="Kommentarthema Zchn"/>
    <w:basedOn w:val="KommentartextZchn"/>
    <w:link w:val="Kommentarthema"/>
    <w:uiPriority w:val="99"/>
    <w:semiHidden/>
    <w:locked/>
    <w:rsid w:val="00E82BEB"/>
    <w:rPr>
      <w:rFonts w:ascii="Georgia" w:hAnsi="Georgia"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687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4479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Reka Schweizer Reisekasse</Company>
  <LinksUpToDate>false</LinksUpToDate>
  <CharactersWithSpaces>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Scheidegger Julia</dc:creator>
  <cp:lastModifiedBy>Scheidegger Julia</cp:lastModifiedBy>
  <cp:revision>2</cp:revision>
  <cp:lastPrinted>2015-04-13T14:00:00Z</cp:lastPrinted>
  <dcterms:created xsi:type="dcterms:W3CDTF">2015-04-27T07:43:00Z</dcterms:created>
  <dcterms:modified xsi:type="dcterms:W3CDTF">2015-04-27T07:43:00Z</dcterms:modified>
</cp:coreProperties>
</file>