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4E" w:rsidRPr="00F10596" w:rsidRDefault="003B714E" w:rsidP="00D86830">
      <w:pPr>
        <w:spacing w:after="0" w:line="240" w:lineRule="auto"/>
        <w:outlineLvl w:val="1"/>
        <w:rPr>
          <w:rFonts w:ascii="Calibri" w:hAnsi="Calibri" w:cs="Arial"/>
          <w:i/>
          <w:sz w:val="22"/>
          <w:lang w:val="fr-CH" w:eastAsia="de-CH"/>
        </w:rPr>
      </w:pPr>
      <w:r w:rsidRPr="00F10596">
        <w:rPr>
          <w:rFonts w:ascii="Calibri" w:hAnsi="Calibri" w:cs="Arial"/>
          <w:i/>
          <w:sz w:val="22"/>
          <w:lang w:val="fr-CH" w:eastAsia="de-CH"/>
        </w:rPr>
        <w:t>Communiqué aux médias</w:t>
      </w:r>
    </w:p>
    <w:p w:rsidR="003B714E" w:rsidRPr="00F10596" w:rsidRDefault="003B714E" w:rsidP="00D86830">
      <w:pPr>
        <w:spacing w:after="0" w:line="240" w:lineRule="auto"/>
        <w:outlineLvl w:val="1"/>
        <w:rPr>
          <w:rFonts w:ascii="Calibri" w:hAnsi="Calibri" w:cs="Arial"/>
          <w:b/>
          <w:szCs w:val="20"/>
          <w:lang w:val="fr-CH" w:eastAsia="de-CH"/>
        </w:rPr>
      </w:pPr>
    </w:p>
    <w:p w:rsidR="003B714E" w:rsidRPr="00F10596" w:rsidRDefault="003B714E" w:rsidP="00D86830">
      <w:pPr>
        <w:spacing w:after="120" w:line="240" w:lineRule="auto"/>
        <w:outlineLvl w:val="1"/>
        <w:rPr>
          <w:rFonts w:ascii="Calibri" w:hAnsi="Calibri" w:cs="Arial"/>
          <w:b/>
          <w:sz w:val="22"/>
          <w:lang w:val="fr-CH" w:eastAsia="de-CH"/>
        </w:rPr>
      </w:pPr>
      <w:r w:rsidRPr="00F10596">
        <w:rPr>
          <w:rFonts w:ascii="Calibri" w:hAnsi="Calibri" w:cs="Arial"/>
          <w:b/>
          <w:sz w:val="22"/>
          <w:lang w:val="fr-CH" w:eastAsia="de-CH"/>
        </w:rPr>
        <w:t>Assemblée générale de la Caisse suisse de voyage du 22 avril 2016 à Lausanne</w:t>
      </w:r>
    </w:p>
    <w:p w:rsidR="003B714E" w:rsidRPr="00F10596" w:rsidRDefault="003B714E" w:rsidP="00D86830">
      <w:pPr>
        <w:spacing w:after="0" w:line="240" w:lineRule="auto"/>
        <w:outlineLvl w:val="0"/>
        <w:rPr>
          <w:rFonts w:ascii="Calibri" w:hAnsi="Calibri" w:cs="Arial"/>
          <w:b/>
          <w:bCs/>
          <w:kern w:val="36"/>
          <w:sz w:val="26"/>
          <w:szCs w:val="26"/>
          <w:lang w:val="fr-CH" w:eastAsia="de-CH"/>
        </w:rPr>
      </w:pPr>
      <w:r w:rsidRPr="00F10596">
        <w:rPr>
          <w:rFonts w:ascii="Calibri" w:hAnsi="Calibri" w:cs="Arial"/>
          <w:b/>
          <w:bCs/>
          <w:kern w:val="36"/>
          <w:sz w:val="26"/>
          <w:szCs w:val="26"/>
          <w:lang w:val="fr-CH" w:eastAsia="de-CH"/>
        </w:rPr>
        <w:t>Comptes annuels équilibrés et lancement de nouveaux produits couronné de succès</w:t>
      </w:r>
    </w:p>
    <w:p w:rsidR="003B714E" w:rsidRPr="00F10596" w:rsidRDefault="003B714E" w:rsidP="00E80D91">
      <w:pPr>
        <w:spacing w:after="0"/>
        <w:outlineLvl w:val="0"/>
        <w:rPr>
          <w:rFonts w:ascii="Calibri" w:hAnsi="Calibri" w:cs="Arial"/>
          <w:bCs/>
          <w:kern w:val="36"/>
          <w:sz w:val="26"/>
          <w:szCs w:val="26"/>
          <w:lang w:val="fr-CH" w:eastAsia="de-CH"/>
        </w:rPr>
      </w:pPr>
    </w:p>
    <w:p w:rsidR="003B714E" w:rsidRPr="00F10596" w:rsidRDefault="003B714E" w:rsidP="00E80D91">
      <w:pPr>
        <w:spacing w:after="0"/>
        <w:rPr>
          <w:rFonts w:ascii="Calibri" w:hAnsi="Calibri"/>
          <w:b/>
          <w:sz w:val="24"/>
          <w:lang w:val="fr-CH"/>
        </w:rPr>
      </w:pPr>
      <w:r w:rsidRPr="00F10596">
        <w:rPr>
          <w:rFonts w:ascii="Calibri" w:hAnsi="Calibri" w:cs="Arial"/>
          <w:bCs/>
          <w:sz w:val="24"/>
          <w:lang w:val="fr-CH" w:eastAsia="de-CH"/>
        </w:rPr>
        <w:t>Berne/Lausanne, le 22 avril 2016 –</w:t>
      </w:r>
      <w:r w:rsidRPr="00F10596">
        <w:rPr>
          <w:rFonts w:ascii="Calibri" w:hAnsi="Calibri" w:cs="Arial"/>
          <w:b/>
          <w:bCs/>
          <w:sz w:val="24"/>
          <w:lang w:val="fr-CH" w:eastAsia="de-CH"/>
        </w:rPr>
        <w:t> </w:t>
      </w:r>
      <w:r w:rsidRPr="00F10596">
        <w:rPr>
          <w:rFonts w:ascii="Calibri" w:hAnsi="Calibri"/>
          <w:b/>
          <w:sz w:val="24"/>
          <w:lang w:val="fr-CH"/>
        </w:rPr>
        <w:t xml:space="preserve">Suite à la crise du franc fort, le volume des ventes d’argent Reka a </w:t>
      </w:r>
      <w:r>
        <w:rPr>
          <w:rFonts w:ascii="Calibri" w:hAnsi="Calibri"/>
          <w:b/>
          <w:sz w:val="24"/>
          <w:lang w:val="fr-CH"/>
        </w:rPr>
        <w:t>quelque peu</w:t>
      </w:r>
      <w:r w:rsidRPr="00F10596">
        <w:rPr>
          <w:rFonts w:ascii="Calibri" w:hAnsi="Calibri"/>
          <w:b/>
          <w:sz w:val="24"/>
          <w:lang w:val="fr-CH"/>
        </w:rPr>
        <w:t xml:space="preserve"> reculé en 2015, </w:t>
      </w:r>
      <w:r>
        <w:rPr>
          <w:rFonts w:ascii="Calibri" w:hAnsi="Calibri"/>
          <w:b/>
          <w:sz w:val="24"/>
          <w:lang w:val="fr-CH"/>
        </w:rPr>
        <w:t>alors</w:t>
      </w:r>
      <w:r w:rsidRPr="00F10596">
        <w:rPr>
          <w:rFonts w:ascii="Calibri" w:hAnsi="Calibri"/>
          <w:b/>
          <w:sz w:val="24"/>
          <w:lang w:val="fr-CH"/>
        </w:rPr>
        <w:t xml:space="preserve"> que Vacances Reka est parvenu à gagner de nouvelles parts de marché en dépit d’un taux d’occupation </w:t>
      </w:r>
      <w:r>
        <w:rPr>
          <w:rFonts w:ascii="Calibri" w:hAnsi="Calibri"/>
          <w:b/>
          <w:sz w:val="24"/>
          <w:lang w:val="fr-CH"/>
        </w:rPr>
        <w:t>légèrement</w:t>
      </w:r>
      <w:r w:rsidRPr="00F10596">
        <w:rPr>
          <w:rFonts w:ascii="Calibri" w:hAnsi="Calibri"/>
          <w:b/>
          <w:sz w:val="24"/>
          <w:lang w:val="fr-CH"/>
        </w:rPr>
        <w:t xml:space="preserve"> inférieur en Suisse. Le nouveau produit Reka-Lunch-Card et les deux villages de vacances Reka Blatten-Belalp et Zinal ont connu un démarrage couronné de succès.</w:t>
      </w:r>
    </w:p>
    <w:p w:rsidR="003B714E" w:rsidRPr="00F10596" w:rsidRDefault="003B714E" w:rsidP="00E80D91">
      <w:pPr>
        <w:spacing w:after="0"/>
        <w:outlineLvl w:val="4"/>
        <w:rPr>
          <w:rFonts w:ascii="Calibri" w:hAnsi="Calibri" w:cs="Arial"/>
          <w:b/>
          <w:bCs/>
          <w:sz w:val="22"/>
          <w:lang w:val="fr-CH" w:eastAsia="de-CH"/>
        </w:rPr>
      </w:pPr>
    </w:p>
    <w:p w:rsidR="003B714E" w:rsidRPr="00F10596" w:rsidRDefault="003B714E" w:rsidP="00E80D91">
      <w:pPr>
        <w:spacing w:after="0"/>
        <w:outlineLvl w:val="4"/>
        <w:rPr>
          <w:rFonts w:ascii="Calibri" w:hAnsi="Calibri" w:cs="Arial"/>
          <w:b/>
          <w:bCs/>
          <w:sz w:val="22"/>
          <w:lang w:val="fr-CH" w:eastAsia="de-CH"/>
        </w:rPr>
      </w:pPr>
      <w:r w:rsidRPr="00F10596">
        <w:rPr>
          <w:rFonts w:ascii="Calibri" w:hAnsi="Calibri" w:cs="Arial"/>
          <w:b/>
          <w:bCs/>
          <w:sz w:val="22"/>
          <w:lang w:val="fr-CH" w:eastAsia="de-CH"/>
        </w:rPr>
        <w:t>Part</w:t>
      </w:r>
      <w:r>
        <w:rPr>
          <w:rFonts w:ascii="Calibri" w:hAnsi="Calibri" w:cs="Arial"/>
          <w:b/>
          <w:bCs/>
          <w:sz w:val="22"/>
          <w:lang w:val="fr-CH" w:eastAsia="de-CH"/>
        </w:rPr>
        <w:t>s</w:t>
      </w:r>
      <w:r w:rsidRPr="00F10596">
        <w:rPr>
          <w:rFonts w:ascii="Calibri" w:hAnsi="Calibri" w:cs="Arial"/>
          <w:b/>
          <w:bCs/>
          <w:sz w:val="22"/>
          <w:lang w:val="fr-CH" w:eastAsia="de-CH"/>
        </w:rPr>
        <w:t xml:space="preserve"> de marché en hausse et taux d’occupation élevé des villages de vacances Reka en Suisse</w:t>
      </w:r>
    </w:p>
    <w:p w:rsidR="003B714E" w:rsidRPr="00F10596" w:rsidRDefault="003B714E" w:rsidP="00E80D91">
      <w:pPr>
        <w:spacing w:after="120"/>
        <w:ind w:right="-28"/>
        <w:rPr>
          <w:rFonts w:ascii="Calibri" w:hAnsi="Calibri"/>
          <w:sz w:val="22"/>
          <w:lang w:val="fr-CH"/>
        </w:rPr>
      </w:pPr>
      <w:r w:rsidRPr="00F10596">
        <w:rPr>
          <w:rFonts w:ascii="Calibri" w:hAnsi="Calibri"/>
          <w:sz w:val="22"/>
          <w:lang w:val="fr-CH"/>
        </w:rPr>
        <w:t xml:space="preserve">En 2015, les </w:t>
      </w:r>
      <w:r>
        <w:rPr>
          <w:rFonts w:ascii="Calibri" w:hAnsi="Calibri"/>
          <w:sz w:val="22"/>
          <w:lang w:val="fr-CH"/>
        </w:rPr>
        <w:t>produits</w:t>
      </w:r>
      <w:r w:rsidRPr="00F10596">
        <w:rPr>
          <w:rFonts w:ascii="Calibri" w:hAnsi="Calibri"/>
          <w:sz w:val="22"/>
          <w:lang w:val="fr-CH"/>
        </w:rPr>
        <w:t xml:space="preserve"> de Vacances Reka en Suisse ont progressé de 1 % pour s’établir à 27,8 mio de francs. Ce résultat est essentiellement dû à une augmentation des capacités, en particulier grâce au nouveau village de vacances Reka Blatten-Belalp qui a ouvert en décembre 2014. Face à un marché touristique suisse globalement en repli, cette croissance signifie aussi que Reka est parvenue à gagner encore des parts de marché. Avec une fréquentation moyenne des appartements de vacances de 68 %, le taux d’occupation des villages de vacances Reka reste, malgré une légère baisse, encore élevé par rapport à ceux observés sur le marché. En ce qui concerne les affaires à l’étranger, les </w:t>
      </w:r>
      <w:r>
        <w:rPr>
          <w:rFonts w:ascii="Calibri" w:hAnsi="Calibri"/>
          <w:sz w:val="22"/>
          <w:lang w:val="fr-CH"/>
        </w:rPr>
        <w:t>produits</w:t>
      </w:r>
      <w:r w:rsidRPr="00F10596">
        <w:rPr>
          <w:rFonts w:ascii="Calibri" w:hAnsi="Calibri"/>
          <w:sz w:val="22"/>
          <w:lang w:val="fr-CH"/>
        </w:rPr>
        <w:t xml:space="preserve"> en euros ont égalé le niveau de l’année précédente</w:t>
      </w:r>
      <w:r>
        <w:rPr>
          <w:rFonts w:ascii="Calibri" w:hAnsi="Calibri"/>
          <w:sz w:val="22"/>
          <w:lang w:val="fr-CH"/>
        </w:rPr>
        <w:t>,</w:t>
      </w:r>
      <w:r w:rsidRPr="00F10596">
        <w:rPr>
          <w:rFonts w:ascii="Calibri" w:hAnsi="Calibri"/>
          <w:sz w:val="22"/>
          <w:lang w:val="fr-CH"/>
        </w:rPr>
        <w:t xml:space="preserve"> bien que l’offre des lotissements de vacances réservables par le biais </w:t>
      </w:r>
      <w:r>
        <w:rPr>
          <w:rFonts w:ascii="Calibri" w:hAnsi="Calibri"/>
          <w:sz w:val="22"/>
          <w:lang w:val="fr-CH"/>
        </w:rPr>
        <w:t xml:space="preserve">de </w:t>
      </w:r>
      <w:r w:rsidRPr="00F10596">
        <w:rPr>
          <w:rFonts w:ascii="Calibri" w:hAnsi="Calibri"/>
          <w:sz w:val="22"/>
          <w:lang w:val="fr-CH"/>
        </w:rPr>
        <w:t>Reka ait été réduite de 15 %. Le seul site de villégiature propriété de Reka à l’étranger, à savoir le resort Golfo del Sole en Toscane, a réalisé le meilleur résultat de toute son histoire. Pour pérenniser cette success story, 80 appartements de vacances,  l’hôtel et le restaurant familial entièrement rénovés rouvriront à fin avril.</w:t>
      </w:r>
    </w:p>
    <w:p w:rsidR="003B714E" w:rsidRPr="00F10596" w:rsidRDefault="003B714E" w:rsidP="00E80D91">
      <w:pPr>
        <w:spacing w:after="0"/>
        <w:rPr>
          <w:rFonts w:ascii="Calibri" w:hAnsi="Calibri" w:cs="Arial"/>
          <w:b/>
          <w:sz w:val="22"/>
          <w:lang w:val="fr-CH" w:eastAsia="de-CH"/>
        </w:rPr>
      </w:pPr>
      <w:r w:rsidRPr="00F10596">
        <w:rPr>
          <w:rFonts w:ascii="Calibri" w:hAnsi="Calibri" w:cs="Arial"/>
          <w:b/>
          <w:sz w:val="22"/>
          <w:lang w:val="fr-CH" w:eastAsia="de-CH"/>
        </w:rPr>
        <w:t>Argent Reka</w:t>
      </w:r>
      <w:r>
        <w:rPr>
          <w:rFonts w:ascii="Calibri" w:hAnsi="Calibri" w:cs="Arial"/>
          <w:b/>
          <w:sz w:val="22"/>
          <w:lang w:val="fr-CH" w:eastAsia="de-CH"/>
        </w:rPr>
        <w:t xml:space="preserve"> </w:t>
      </w:r>
      <w:r w:rsidRPr="00F10596">
        <w:rPr>
          <w:rFonts w:ascii="Calibri" w:hAnsi="Calibri" w:cs="Arial"/>
          <w:b/>
          <w:sz w:val="22"/>
          <w:lang w:val="fr-CH" w:eastAsia="de-CH"/>
        </w:rPr>
        <w:t>: troisième meilleur résultat des ventes</w:t>
      </w:r>
    </w:p>
    <w:p w:rsidR="003B714E" w:rsidRPr="00F10596" w:rsidRDefault="003B714E" w:rsidP="00E80D91">
      <w:pPr>
        <w:spacing w:after="120"/>
        <w:ind w:right="-28"/>
        <w:rPr>
          <w:rFonts w:ascii="Calibri" w:hAnsi="Calibri"/>
          <w:sz w:val="22"/>
          <w:lang w:val="fr-CH"/>
        </w:rPr>
      </w:pPr>
      <w:r w:rsidRPr="00F10596">
        <w:rPr>
          <w:rFonts w:ascii="Calibri" w:hAnsi="Calibri"/>
          <w:sz w:val="22"/>
          <w:lang w:val="fr-CH"/>
        </w:rPr>
        <w:t>Dans le secteur commercial Argent Reka, le volume des ventes a reculé de 3 % par rapport au volume record de l’année précédente pour s’établir à 658 mio de francs, ce qui correspond tout de même au troisième meilleur résultat jamais atteint. La perte d’un important point de vente d’argent Reka et la réduction d</w:t>
      </w:r>
      <w:r>
        <w:rPr>
          <w:rFonts w:ascii="Calibri" w:hAnsi="Calibri"/>
          <w:sz w:val="22"/>
          <w:lang w:val="fr-CH"/>
        </w:rPr>
        <w:t>u nombre d</w:t>
      </w:r>
      <w:r w:rsidRPr="00F10596">
        <w:rPr>
          <w:rFonts w:ascii="Calibri" w:hAnsi="Calibri"/>
          <w:sz w:val="22"/>
          <w:lang w:val="fr-CH"/>
        </w:rPr>
        <w:t>e</w:t>
      </w:r>
      <w:r>
        <w:rPr>
          <w:rFonts w:ascii="Calibri" w:hAnsi="Calibri"/>
          <w:sz w:val="22"/>
          <w:lang w:val="fr-CH"/>
        </w:rPr>
        <w:t xml:space="preserve"> salarié</w:t>
      </w:r>
      <w:r w:rsidRPr="00F10596">
        <w:rPr>
          <w:rFonts w:ascii="Calibri" w:hAnsi="Calibri"/>
          <w:sz w:val="22"/>
          <w:lang w:val="fr-CH"/>
        </w:rPr>
        <w:t xml:space="preserve">s chez toute une série d’employeurs sont les principaux facteurs de cette légère baisse. A laquelle il faut ajouter l’impact des prix bas de l’essence dû au fait que celles et ceux qui dépensent l’argent Reka prioritairement pour faire le plein ont acheté encore moins d’argent Reka que l’année précédente. Une part notable de ces effets négatifs a pu être compensée par l’acquisition de nouveaux clients. </w:t>
      </w:r>
      <w:r>
        <w:rPr>
          <w:rFonts w:ascii="Calibri" w:hAnsi="Calibri"/>
          <w:sz w:val="22"/>
          <w:lang w:val="fr-CH"/>
        </w:rPr>
        <w:t>L</w:t>
      </w:r>
      <w:r w:rsidRPr="00F10596">
        <w:rPr>
          <w:rFonts w:ascii="Calibri" w:hAnsi="Calibri"/>
          <w:sz w:val="22"/>
          <w:lang w:val="fr-CH"/>
        </w:rPr>
        <w:t xml:space="preserve">es </w:t>
      </w:r>
      <w:r>
        <w:rPr>
          <w:rFonts w:ascii="Calibri" w:hAnsi="Calibri"/>
          <w:sz w:val="22"/>
          <w:lang w:val="fr-CH"/>
        </w:rPr>
        <w:t>revenus d</w:t>
      </w:r>
      <w:r w:rsidRPr="00F10596">
        <w:rPr>
          <w:rFonts w:ascii="Calibri" w:hAnsi="Calibri"/>
          <w:sz w:val="22"/>
          <w:lang w:val="fr-CH"/>
        </w:rPr>
        <w:t>es placements financiers</w:t>
      </w:r>
      <w:r>
        <w:rPr>
          <w:rFonts w:ascii="Calibri" w:hAnsi="Calibri"/>
          <w:sz w:val="22"/>
          <w:lang w:val="fr-CH"/>
        </w:rPr>
        <w:t xml:space="preserve"> à la baisse</w:t>
      </w:r>
      <w:r w:rsidRPr="00F10596">
        <w:rPr>
          <w:rFonts w:ascii="Calibri" w:hAnsi="Calibri"/>
          <w:sz w:val="22"/>
          <w:lang w:val="fr-CH"/>
        </w:rPr>
        <w:t xml:space="preserve"> ont eux aussi grevé le résultat annuel.</w:t>
      </w:r>
    </w:p>
    <w:p w:rsidR="003B714E" w:rsidRPr="00F10596" w:rsidRDefault="003B714E" w:rsidP="00E80D91">
      <w:pPr>
        <w:ind w:right="-171"/>
        <w:rPr>
          <w:rFonts w:ascii="Calibri" w:hAnsi="Calibri" w:cs="Arial"/>
          <w:bCs/>
          <w:color w:val="000000"/>
          <w:sz w:val="22"/>
          <w:lang w:val="fr-CH" w:eastAsia="de-CH"/>
        </w:rPr>
      </w:pPr>
      <w:r w:rsidRPr="00F10596">
        <w:rPr>
          <w:rFonts w:ascii="Calibri" w:hAnsi="Calibri" w:cs="Arial"/>
          <w:b/>
          <w:bCs/>
          <w:color w:val="000000"/>
          <w:sz w:val="22"/>
          <w:lang w:val="fr-CH" w:eastAsia="de-CH"/>
        </w:rPr>
        <w:t xml:space="preserve">Nouveaux produits et partenariats de choix </w:t>
      </w:r>
      <w:r w:rsidRPr="00F10596">
        <w:rPr>
          <w:rFonts w:ascii="Calibri" w:hAnsi="Calibri" w:cs="Arial"/>
          <w:b/>
          <w:bCs/>
          <w:color w:val="000000"/>
          <w:sz w:val="22"/>
          <w:lang w:val="fr-CH" w:eastAsia="de-CH"/>
        </w:rPr>
        <w:br/>
      </w:r>
      <w:r w:rsidRPr="00F10596">
        <w:rPr>
          <w:rFonts w:ascii="Calibri" w:hAnsi="Calibri" w:cs="Arial"/>
          <w:bCs/>
          <w:color w:val="000000"/>
          <w:sz w:val="22"/>
          <w:lang w:val="fr-CH" w:eastAsia="de-CH"/>
        </w:rPr>
        <w:t xml:space="preserve">Avec la Reka-Lunch-Card, carte électronique prépayée, Reka a fait son entrée sur le marché de la restauration des employés proposée à prix réduit par les employeurs. La phase pilote menée dans plusieurs entreprises, parmi lesquelles Flughafen Zürich AG, a été couronnée de succès. Reka part du principe qu’après une période de rodage de deux à trois ans, le volume des ventes de Reka-Lunch augmentera rapidement. </w:t>
      </w:r>
      <w:r>
        <w:rPr>
          <w:rFonts w:ascii="Calibri" w:hAnsi="Calibri" w:cs="Arial"/>
          <w:bCs/>
          <w:color w:val="000000"/>
          <w:sz w:val="22"/>
          <w:lang w:val="fr-CH" w:eastAsia="de-CH"/>
        </w:rPr>
        <w:t>Pour leur part</w:t>
      </w:r>
      <w:r w:rsidRPr="00F10596">
        <w:rPr>
          <w:rFonts w:ascii="Calibri" w:hAnsi="Calibri" w:cs="Arial"/>
          <w:bCs/>
          <w:color w:val="000000"/>
          <w:sz w:val="22"/>
          <w:lang w:val="fr-CH" w:eastAsia="de-CH"/>
        </w:rPr>
        <w:t xml:space="preserve">, le nouveau village de vacances Reka Blatten-Belalp et celui rénové et agrandi de Zinal ont </w:t>
      </w:r>
      <w:r>
        <w:rPr>
          <w:rFonts w:ascii="Calibri" w:hAnsi="Calibri" w:cs="Arial"/>
          <w:bCs/>
          <w:color w:val="000000"/>
          <w:sz w:val="22"/>
          <w:lang w:val="fr-CH" w:eastAsia="de-CH"/>
        </w:rPr>
        <w:t>reçu un excellent</w:t>
      </w:r>
      <w:r w:rsidRPr="00F10596">
        <w:rPr>
          <w:rFonts w:ascii="Calibri" w:hAnsi="Calibri" w:cs="Arial"/>
          <w:bCs/>
          <w:color w:val="000000"/>
          <w:sz w:val="22"/>
          <w:lang w:val="fr-CH" w:eastAsia="de-CH"/>
        </w:rPr>
        <w:t xml:space="preserve"> accueil sur le marché, avec des résultats chiffrés très réjouissants. Grâce aux nouveaux partenariats de choix avec le prestataire outdoor Mammut et la marque culte de vélo Thömus</w:t>
      </w:r>
      <w:r>
        <w:rPr>
          <w:rFonts w:ascii="Calibri" w:hAnsi="Calibri" w:cs="Arial"/>
          <w:bCs/>
          <w:color w:val="000000"/>
          <w:sz w:val="22"/>
          <w:lang w:val="fr-CH" w:eastAsia="de-CH"/>
        </w:rPr>
        <w:t>,</w:t>
      </w:r>
      <w:r w:rsidRPr="00F10596">
        <w:rPr>
          <w:rFonts w:ascii="Calibri" w:hAnsi="Calibri" w:cs="Arial"/>
          <w:bCs/>
          <w:color w:val="000000"/>
          <w:sz w:val="22"/>
          <w:lang w:val="fr-CH" w:eastAsia="de-CH"/>
        </w:rPr>
        <w:t xml:space="preserve"> de Berne, l’</w:t>
      </w:r>
      <w:r>
        <w:rPr>
          <w:rFonts w:ascii="Calibri" w:hAnsi="Calibri" w:cs="Arial"/>
          <w:bCs/>
          <w:color w:val="000000"/>
          <w:sz w:val="22"/>
          <w:lang w:val="fr-CH" w:eastAsia="de-CH"/>
        </w:rPr>
        <w:t>éventail d’</w:t>
      </w:r>
      <w:r w:rsidRPr="00F10596">
        <w:rPr>
          <w:rFonts w:ascii="Calibri" w:hAnsi="Calibri" w:cs="Arial"/>
          <w:bCs/>
          <w:color w:val="000000"/>
          <w:sz w:val="22"/>
          <w:lang w:val="fr-CH" w:eastAsia="de-CH"/>
        </w:rPr>
        <w:t>offre</w:t>
      </w:r>
      <w:r>
        <w:rPr>
          <w:rFonts w:ascii="Calibri" w:hAnsi="Calibri" w:cs="Arial"/>
          <w:bCs/>
          <w:color w:val="000000"/>
          <w:sz w:val="22"/>
          <w:lang w:val="fr-CH" w:eastAsia="de-CH"/>
        </w:rPr>
        <w:t>s</w:t>
      </w:r>
      <w:r w:rsidRPr="00F10596">
        <w:rPr>
          <w:rFonts w:ascii="Calibri" w:hAnsi="Calibri" w:cs="Arial"/>
          <w:bCs/>
          <w:color w:val="000000"/>
          <w:sz w:val="22"/>
          <w:lang w:val="fr-CH" w:eastAsia="de-CH"/>
        </w:rPr>
        <w:t xml:space="preserve"> pour les vacanciers Reka s’annonce plus attracti</w:t>
      </w:r>
      <w:r>
        <w:rPr>
          <w:rFonts w:ascii="Calibri" w:hAnsi="Calibri" w:cs="Arial"/>
          <w:bCs/>
          <w:color w:val="000000"/>
          <w:sz w:val="22"/>
          <w:lang w:val="fr-CH" w:eastAsia="de-CH"/>
        </w:rPr>
        <w:t>f</w:t>
      </w:r>
      <w:r w:rsidRPr="00F10596">
        <w:rPr>
          <w:rFonts w:ascii="Calibri" w:hAnsi="Calibri" w:cs="Arial"/>
          <w:bCs/>
          <w:color w:val="000000"/>
          <w:sz w:val="22"/>
          <w:lang w:val="fr-CH" w:eastAsia="de-CH"/>
        </w:rPr>
        <w:t xml:space="preserve"> encore. Avec l’offre de sports de montagne proposée par Mammut Alpine School, le village de vacances </w:t>
      </w:r>
      <w:r w:rsidRPr="00F10596">
        <w:rPr>
          <w:rFonts w:ascii="Calibri" w:hAnsi="Calibri" w:cs="Arial"/>
          <w:bCs/>
          <w:sz w:val="22"/>
          <w:lang w:val="fr-CH"/>
        </w:rPr>
        <w:t xml:space="preserve">Reka Zinal devient le </w:t>
      </w:r>
      <w:r>
        <w:rPr>
          <w:rFonts w:ascii="Calibri" w:hAnsi="Calibri" w:cs="Arial"/>
          <w:bCs/>
          <w:sz w:val="22"/>
          <w:lang w:val="fr-CH"/>
        </w:rPr>
        <w:t>« </w:t>
      </w:r>
      <w:r w:rsidRPr="00F10596">
        <w:rPr>
          <w:rFonts w:ascii="Calibri" w:hAnsi="Calibri" w:cs="Arial"/>
          <w:bCs/>
          <w:sz w:val="22"/>
          <w:lang w:val="fr-CH"/>
        </w:rPr>
        <w:t>camp de base</w:t>
      </w:r>
      <w:r>
        <w:rPr>
          <w:rFonts w:ascii="Calibri" w:hAnsi="Calibri" w:cs="Arial"/>
          <w:bCs/>
          <w:sz w:val="22"/>
          <w:lang w:val="fr-CH"/>
        </w:rPr>
        <w:t> »</w:t>
      </w:r>
      <w:r w:rsidRPr="00F10596">
        <w:rPr>
          <w:rFonts w:ascii="Calibri" w:hAnsi="Calibri" w:cs="Arial"/>
          <w:bCs/>
          <w:sz w:val="22"/>
          <w:lang w:val="fr-CH"/>
        </w:rPr>
        <w:t xml:space="preserve"> des aficionados d’activités outdoor</w:t>
      </w:r>
      <w:r w:rsidRPr="00F10596">
        <w:rPr>
          <w:rFonts w:ascii="Calibri" w:hAnsi="Calibri" w:cs="Arial"/>
          <w:bCs/>
          <w:color w:val="000000"/>
          <w:sz w:val="22"/>
          <w:lang w:val="fr-CH" w:eastAsia="de-CH"/>
        </w:rPr>
        <w:t xml:space="preserve">. Les villages de vacances Reka Montfaucon, dans le Jura, et Golfo del Sole, en Toscane, sont les points de départ de tours à vélo guidés </w:t>
      </w:r>
      <w:r>
        <w:rPr>
          <w:rFonts w:ascii="Calibri" w:hAnsi="Calibri" w:cs="Arial"/>
          <w:bCs/>
          <w:color w:val="000000"/>
          <w:sz w:val="22"/>
          <w:lang w:val="fr-CH" w:eastAsia="de-CH"/>
        </w:rPr>
        <w:t>proposés dans</w:t>
      </w:r>
      <w:r w:rsidRPr="00F10596">
        <w:rPr>
          <w:rFonts w:ascii="Calibri" w:hAnsi="Calibri" w:cs="Arial"/>
          <w:bCs/>
          <w:color w:val="000000"/>
          <w:sz w:val="22"/>
          <w:lang w:val="fr-CH" w:eastAsia="de-CH"/>
        </w:rPr>
        <w:t xml:space="preserve"> </w:t>
      </w:r>
      <w:r>
        <w:rPr>
          <w:rFonts w:ascii="Calibri" w:hAnsi="Calibri" w:cs="Arial"/>
          <w:bCs/>
          <w:color w:val="000000"/>
          <w:sz w:val="22"/>
          <w:lang w:val="fr-CH" w:eastAsia="de-CH"/>
        </w:rPr>
        <w:t>la formule</w:t>
      </w:r>
      <w:r w:rsidRPr="00F10596">
        <w:rPr>
          <w:rFonts w:ascii="Calibri" w:hAnsi="Calibri" w:cs="Arial"/>
          <w:bCs/>
          <w:color w:val="000000"/>
          <w:sz w:val="22"/>
          <w:lang w:val="fr-CH" w:eastAsia="de-CH"/>
        </w:rPr>
        <w:t xml:space="preserve"> </w:t>
      </w:r>
      <w:r>
        <w:rPr>
          <w:rFonts w:ascii="Calibri" w:hAnsi="Calibri" w:cs="Arial"/>
          <w:bCs/>
          <w:color w:val="000000"/>
          <w:sz w:val="22"/>
          <w:lang w:val="fr-CH" w:eastAsia="de-CH"/>
        </w:rPr>
        <w:t>« </w:t>
      </w:r>
      <w:r w:rsidRPr="00F10596">
        <w:rPr>
          <w:rFonts w:ascii="Calibri" w:hAnsi="Calibri" w:cs="Arial"/>
          <w:bCs/>
          <w:color w:val="000000"/>
          <w:sz w:val="22"/>
          <w:lang w:val="fr-CH" w:eastAsia="de-CH"/>
        </w:rPr>
        <w:t>Holiday on Bike</w:t>
      </w:r>
      <w:r>
        <w:rPr>
          <w:rFonts w:ascii="Calibri" w:hAnsi="Calibri" w:cs="Arial"/>
          <w:bCs/>
          <w:color w:val="000000"/>
          <w:sz w:val="22"/>
          <w:lang w:val="fr-CH" w:eastAsia="de-CH"/>
        </w:rPr>
        <w:t> »</w:t>
      </w:r>
      <w:r w:rsidRPr="00F10596">
        <w:rPr>
          <w:rFonts w:ascii="Calibri" w:hAnsi="Calibri" w:cs="Arial"/>
          <w:bCs/>
          <w:color w:val="000000"/>
          <w:sz w:val="22"/>
          <w:lang w:val="fr-CH" w:eastAsia="de-CH"/>
        </w:rPr>
        <w:t>. A noter encore qu’au 1</w:t>
      </w:r>
      <w:r w:rsidRPr="00CF3F15">
        <w:rPr>
          <w:rFonts w:ascii="Calibri" w:hAnsi="Calibri" w:cs="Arial"/>
          <w:bCs/>
          <w:color w:val="000000"/>
          <w:sz w:val="22"/>
          <w:vertAlign w:val="superscript"/>
          <w:lang w:val="fr-CH" w:eastAsia="de-CH"/>
        </w:rPr>
        <w:t>er</w:t>
      </w:r>
      <w:r>
        <w:rPr>
          <w:rFonts w:ascii="Calibri" w:hAnsi="Calibri" w:cs="Arial"/>
          <w:bCs/>
          <w:color w:val="000000"/>
          <w:sz w:val="22"/>
          <w:lang w:val="fr-CH" w:eastAsia="de-CH"/>
        </w:rPr>
        <w:t xml:space="preserve"> </w:t>
      </w:r>
      <w:r w:rsidRPr="00F10596">
        <w:rPr>
          <w:rFonts w:ascii="Calibri" w:hAnsi="Calibri" w:cs="Arial"/>
          <w:bCs/>
          <w:color w:val="000000"/>
          <w:sz w:val="22"/>
          <w:lang w:val="fr-CH" w:eastAsia="de-CH"/>
        </w:rPr>
        <w:t xml:space="preserve">janvier 2017, Vacances Reka étoffe son portefeuille au Tessin par l’acquisition du </w:t>
      </w:r>
      <w:r>
        <w:rPr>
          <w:rFonts w:ascii="Calibri" w:hAnsi="Calibri" w:cs="Arial"/>
          <w:bCs/>
          <w:color w:val="000000"/>
          <w:sz w:val="22"/>
          <w:lang w:val="fr-CH" w:eastAsia="de-CH"/>
        </w:rPr>
        <w:t>parc-hôtel</w:t>
      </w:r>
      <w:r w:rsidRPr="00F10596">
        <w:rPr>
          <w:rFonts w:ascii="Calibri" w:hAnsi="Calibri" w:cs="Arial"/>
          <w:bCs/>
          <w:color w:val="000000"/>
          <w:sz w:val="22"/>
          <w:lang w:val="fr-CH" w:eastAsia="de-CH"/>
        </w:rPr>
        <w:t xml:space="preserve"> Brenscino</w:t>
      </w:r>
      <w:r>
        <w:rPr>
          <w:rFonts w:ascii="Calibri" w:hAnsi="Calibri" w:cs="Arial"/>
          <w:bCs/>
          <w:color w:val="000000"/>
          <w:sz w:val="22"/>
          <w:lang w:val="fr-CH" w:eastAsia="de-CH"/>
        </w:rPr>
        <w:t>,</w:t>
      </w:r>
      <w:r w:rsidRPr="00F10596">
        <w:rPr>
          <w:rFonts w:ascii="Calibri" w:hAnsi="Calibri" w:cs="Arial"/>
          <w:bCs/>
          <w:color w:val="000000"/>
          <w:sz w:val="22"/>
          <w:lang w:val="fr-CH" w:eastAsia="de-CH"/>
        </w:rPr>
        <w:t xml:space="preserve"> à Brissago.</w:t>
      </w:r>
    </w:p>
    <w:p w:rsidR="003B714E" w:rsidRPr="00F10596" w:rsidRDefault="003B714E" w:rsidP="00D86830">
      <w:pPr>
        <w:spacing w:after="0" w:line="240" w:lineRule="auto"/>
        <w:outlineLvl w:val="4"/>
        <w:rPr>
          <w:rFonts w:ascii="Calibri" w:hAnsi="Calibri" w:cs="Arial"/>
          <w:b/>
          <w:bCs/>
          <w:color w:val="000000"/>
          <w:sz w:val="22"/>
          <w:lang w:val="fr-CH" w:eastAsia="de-CH"/>
        </w:rPr>
      </w:pPr>
      <w:r w:rsidRPr="00F10596">
        <w:rPr>
          <w:rFonts w:ascii="Calibri" w:hAnsi="Calibri" w:cs="Arial"/>
          <w:b/>
          <w:bCs/>
          <w:color w:val="000000"/>
          <w:sz w:val="22"/>
          <w:lang w:val="fr-CH" w:eastAsia="de-CH"/>
        </w:rPr>
        <w:t xml:space="preserve">Vue d’ensemble des chiffres 2015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992"/>
      </w:tblGrid>
      <w:tr w:rsidR="003B714E" w:rsidRPr="00F10596" w:rsidTr="00014400">
        <w:tc>
          <w:tcPr>
            <w:tcW w:w="2127" w:type="dxa"/>
            <w:vAlign w:val="bottom"/>
          </w:tcPr>
          <w:p w:rsidR="003B714E" w:rsidRPr="00F10596" w:rsidRDefault="003B714E" w:rsidP="00BF5C49">
            <w:pPr>
              <w:spacing w:after="0"/>
              <w:rPr>
                <w:rFonts w:ascii="Calibri" w:hAnsi="Calibri" w:cs="Arial"/>
                <w:color w:val="000000"/>
                <w:sz w:val="22"/>
                <w:lang w:val="fr-CH"/>
              </w:rPr>
            </w:pPr>
            <w:r w:rsidRPr="00F10596">
              <w:rPr>
                <w:rFonts w:ascii="Calibri" w:hAnsi="Calibri" w:cs="Arial"/>
                <w:color w:val="000000"/>
                <w:sz w:val="22"/>
                <w:lang w:val="fr-CH"/>
              </w:rPr>
              <w:t>en mio CHF</w:t>
            </w:r>
          </w:p>
        </w:tc>
        <w:tc>
          <w:tcPr>
            <w:tcW w:w="992" w:type="dxa"/>
          </w:tcPr>
          <w:p w:rsidR="003B714E" w:rsidRPr="00F10596" w:rsidRDefault="003B714E" w:rsidP="00014400">
            <w:pPr>
              <w:spacing w:after="0"/>
              <w:jc w:val="right"/>
              <w:rPr>
                <w:rFonts w:ascii="Calibri" w:hAnsi="Calibri" w:cs="Arial"/>
                <w:b/>
                <w:color w:val="000000"/>
                <w:sz w:val="22"/>
                <w:lang w:val="fr-CH"/>
              </w:rPr>
            </w:pPr>
            <w:r w:rsidRPr="00F10596">
              <w:rPr>
                <w:rFonts w:ascii="Calibri" w:hAnsi="Calibri" w:cs="Arial"/>
                <w:b/>
                <w:color w:val="000000"/>
                <w:sz w:val="22"/>
                <w:lang w:val="fr-CH"/>
              </w:rPr>
              <w:t>2015</w:t>
            </w:r>
          </w:p>
        </w:tc>
      </w:tr>
      <w:tr w:rsidR="003B714E" w:rsidRPr="00F10596" w:rsidTr="00014400">
        <w:tc>
          <w:tcPr>
            <w:tcW w:w="2127" w:type="dxa"/>
          </w:tcPr>
          <w:p w:rsidR="003B714E" w:rsidRPr="00F10596" w:rsidRDefault="003B714E" w:rsidP="00014400">
            <w:pPr>
              <w:spacing w:after="0"/>
              <w:rPr>
                <w:rFonts w:ascii="Calibri" w:hAnsi="Calibri" w:cs="Arial"/>
                <w:color w:val="000000"/>
                <w:sz w:val="22"/>
                <w:lang w:val="fr-CH"/>
              </w:rPr>
            </w:pPr>
            <w:r w:rsidRPr="00F10596">
              <w:rPr>
                <w:rFonts w:ascii="Calibri" w:hAnsi="Calibri" w:cs="Arial"/>
                <w:color w:val="000000"/>
                <w:sz w:val="22"/>
                <w:lang w:val="fr-CH"/>
              </w:rPr>
              <w:t>Chiffres d</w:t>
            </w:r>
            <w:r>
              <w:rPr>
                <w:rFonts w:ascii="Calibri" w:hAnsi="Calibri" w:cs="Arial"/>
                <w:color w:val="000000"/>
                <w:sz w:val="22"/>
                <w:lang w:val="fr-CH"/>
              </w:rPr>
              <w:t>’</w:t>
            </w:r>
            <w:r w:rsidRPr="00F10596">
              <w:rPr>
                <w:rFonts w:ascii="Calibri" w:hAnsi="Calibri" w:cs="Arial"/>
                <w:color w:val="000000"/>
                <w:sz w:val="22"/>
                <w:lang w:val="fr-CH"/>
              </w:rPr>
              <w:t>affaires</w:t>
            </w:r>
          </w:p>
        </w:tc>
        <w:tc>
          <w:tcPr>
            <w:tcW w:w="992" w:type="dxa"/>
          </w:tcPr>
          <w:p w:rsidR="003B714E" w:rsidRPr="00F10596" w:rsidRDefault="003B714E" w:rsidP="00DE1A6E">
            <w:pPr>
              <w:spacing w:after="0"/>
              <w:jc w:val="right"/>
              <w:rPr>
                <w:rFonts w:ascii="Calibri" w:hAnsi="Calibri" w:cs="Arial"/>
                <w:color w:val="000000"/>
                <w:sz w:val="22"/>
                <w:lang w:val="fr-CH"/>
              </w:rPr>
            </w:pPr>
            <w:r w:rsidRPr="00F10596">
              <w:rPr>
                <w:rFonts w:ascii="Calibri" w:hAnsi="Calibri" w:cs="Arial"/>
                <w:color w:val="000000"/>
                <w:sz w:val="22"/>
                <w:lang w:val="fr-CH"/>
              </w:rPr>
              <w:t>69.8</w:t>
            </w:r>
          </w:p>
        </w:tc>
      </w:tr>
      <w:tr w:rsidR="003B714E" w:rsidRPr="00F10596" w:rsidTr="00014400">
        <w:tc>
          <w:tcPr>
            <w:tcW w:w="2127" w:type="dxa"/>
          </w:tcPr>
          <w:p w:rsidR="003B714E" w:rsidRPr="00F10596" w:rsidRDefault="003B714E" w:rsidP="00014400">
            <w:pPr>
              <w:spacing w:after="0"/>
              <w:rPr>
                <w:rFonts w:ascii="Calibri" w:hAnsi="Calibri" w:cs="Arial"/>
                <w:color w:val="000000"/>
                <w:sz w:val="22"/>
                <w:lang w:val="fr-CH"/>
              </w:rPr>
            </w:pPr>
            <w:r w:rsidRPr="00F10596">
              <w:rPr>
                <w:rFonts w:ascii="Calibri" w:hAnsi="Calibri" w:cs="Arial"/>
                <w:color w:val="000000"/>
                <w:sz w:val="22"/>
                <w:lang w:val="fr-CH"/>
              </w:rPr>
              <w:t>Bénéfice brut</w:t>
            </w:r>
          </w:p>
        </w:tc>
        <w:tc>
          <w:tcPr>
            <w:tcW w:w="992" w:type="dxa"/>
          </w:tcPr>
          <w:p w:rsidR="003B714E" w:rsidRPr="00F10596" w:rsidRDefault="003B714E" w:rsidP="00014400">
            <w:pPr>
              <w:spacing w:after="0"/>
              <w:jc w:val="right"/>
              <w:rPr>
                <w:rFonts w:ascii="Calibri" w:hAnsi="Calibri" w:cs="Arial"/>
                <w:color w:val="000000"/>
                <w:sz w:val="22"/>
                <w:lang w:val="fr-CH"/>
              </w:rPr>
            </w:pPr>
            <w:r w:rsidRPr="00F10596">
              <w:rPr>
                <w:rFonts w:ascii="Calibri" w:hAnsi="Calibri" w:cs="Arial"/>
                <w:color w:val="000000"/>
                <w:sz w:val="22"/>
                <w:lang w:val="fr-CH"/>
              </w:rPr>
              <w:t>38.5</w:t>
            </w:r>
          </w:p>
        </w:tc>
      </w:tr>
      <w:tr w:rsidR="003B714E" w:rsidRPr="00F10596" w:rsidTr="00014400">
        <w:tc>
          <w:tcPr>
            <w:tcW w:w="2127" w:type="dxa"/>
          </w:tcPr>
          <w:p w:rsidR="003B714E" w:rsidRPr="00F10596" w:rsidRDefault="003B714E" w:rsidP="00014400">
            <w:pPr>
              <w:spacing w:after="0"/>
              <w:rPr>
                <w:rFonts w:ascii="Calibri" w:hAnsi="Calibri" w:cs="Arial"/>
                <w:color w:val="000000"/>
                <w:sz w:val="22"/>
                <w:lang w:val="fr-CH"/>
              </w:rPr>
            </w:pPr>
            <w:r w:rsidRPr="00F10596">
              <w:rPr>
                <w:rFonts w:ascii="Calibri" w:hAnsi="Calibri" w:cs="Arial"/>
                <w:color w:val="000000"/>
                <w:sz w:val="22"/>
                <w:lang w:val="fr-CH"/>
              </w:rPr>
              <w:t>Résultat d‘exploitation     </w:t>
            </w:r>
          </w:p>
        </w:tc>
        <w:tc>
          <w:tcPr>
            <w:tcW w:w="992" w:type="dxa"/>
          </w:tcPr>
          <w:p w:rsidR="003B714E" w:rsidRPr="00F10596" w:rsidRDefault="003B714E" w:rsidP="00014400">
            <w:pPr>
              <w:spacing w:after="0"/>
              <w:jc w:val="right"/>
              <w:rPr>
                <w:rFonts w:ascii="Calibri" w:hAnsi="Calibri" w:cs="Arial"/>
                <w:color w:val="000000"/>
                <w:sz w:val="22"/>
                <w:lang w:val="fr-CH"/>
              </w:rPr>
            </w:pPr>
            <w:r w:rsidRPr="00F10596">
              <w:rPr>
                <w:rFonts w:ascii="Calibri" w:hAnsi="Calibri" w:cs="Arial"/>
                <w:color w:val="000000"/>
                <w:sz w:val="22"/>
                <w:lang w:val="fr-CH"/>
              </w:rPr>
              <w:t>-5.2</w:t>
            </w:r>
          </w:p>
        </w:tc>
      </w:tr>
      <w:tr w:rsidR="003B714E" w:rsidRPr="00F10596" w:rsidTr="00014400">
        <w:tc>
          <w:tcPr>
            <w:tcW w:w="2127" w:type="dxa"/>
          </w:tcPr>
          <w:p w:rsidR="003B714E" w:rsidRPr="00F10596" w:rsidRDefault="003B714E" w:rsidP="00014400">
            <w:pPr>
              <w:spacing w:after="0"/>
              <w:rPr>
                <w:rFonts w:ascii="Calibri" w:hAnsi="Calibri" w:cs="Arial"/>
                <w:color w:val="000000"/>
                <w:sz w:val="22"/>
                <w:lang w:val="fr-CH"/>
              </w:rPr>
            </w:pPr>
            <w:r w:rsidRPr="00F10596">
              <w:rPr>
                <w:rFonts w:ascii="Calibri" w:hAnsi="Calibri" w:cs="Arial"/>
                <w:color w:val="000000"/>
                <w:sz w:val="22"/>
                <w:lang w:val="fr-CH"/>
              </w:rPr>
              <w:t>Résultat annuel</w:t>
            </w:r>
          </w:p>
        </w:tc>
        <w:tc>
          <w:tcPr>
            <w:tcW w:w="992" w:type="dxa"/>
          </w:tcPr>
          <w:p w:rsidR="003B714E" w:rsidRPr="00F10596" w:rsidRDefault="003B714E" w:rsidP="00014400">
            <w:pPr>
              <w:spacing w:after="0"/>
              <w:jc w:val="right"/>
              <w:rPr>
                <w:rFonts w:ascii="Calibri" w:hAnsi="Calibri" w:cs="Arial"/>
                <w:color w:val="000000"/>
                <w:sz w:val="22"/>
                <w:lang w:val="fr-CH"/>
              </w:rPr>
            </w:pPr>
            <w:r w:rsidRPr="00F10596">
              <w:rPr>
                <w:rFonts w:ascii="Calibri" w:hAnsi="Calibri" w:cs="Arial"/>
                <w:color w:val="000000"/>
                <w:sz w:val="22"/>
                <w:lang w:val="fr-CH"/>
              </w:rPr>
              <w:t>0.1</w:t>
            </w:r>
          </w:p>
        </w:tc>
      </w:tr>
    </w:tbl>
    <w:p w:rsidR="003B714E" w:rsidRDefault="003B714E" w:rsidP="00D86830">
      <w:pPr>
        <w:spacing w:after="0" w:line="240" w:lineRule="auto"/>
        <w:rPr>
          <w:rFonts w:ascii="Calibri" w:hAnsi="Calibri" w:cs="Arial"/>
          <w:i/>
          <w:sz w:val="18"/>
          <w:lang w:val="fr-CH" w:eastAsia="de-CH"/>
        </w:rPr>
      </w:pPr>
    </w:p>
    <w:p w:rsidR="003B714E" w:rsidRPr="00F10596" w:rsidRDefault="003B714E" w:rsidP="00D86830">
      <w:pPr>
        <w:spacing w:after="0" w:line="240" w:lineRule="auto"/>
        <w:rPr>
          <w:rFonts w:ascii="Calibri" w:hAnsi="Calibri" w:cs="Arial"/>
          <w:i/>
          <w:sz w:val="18"/>
          <w:lang w:val="fr-CH" w:eastAsia="de-CH"/>
        </w:rPr>
      </w:pPr>
      <w:r w:rsidRPr="00F10596">
        <w:rPr>
          <w:rFonts w:ascii="Calibri" w:hAnsi="Calibri" w:cs="Arial"/>
          <w:i/>
          <w:sz w:val="18"/>
          <w:lang w:val="fr-CH" w:eastAsia="de-CH"/>
        </w:rPr>
        <w:t>En raison du passage au nouveau standard de présentation des comptes, aucun chiffre de l’année précédente n’est publié.</w:t>
      </w:r>
    </w:p>
    <w:p w:rsidR="003B714E" w:rsidRPr="00F10596" w:rsidRDefault="003B714E" w:rsidP="00D86830">
      <w:pPr>
        <w:spacing w:after="0" w:line="240" w:lineRule="auto"/>
        <w:rPr>
          <w:rFonts w:ascii="Calibri" w:hAnsi="Calibri" w:cs="Arial"/>
          <w:b/>
          <w:sz w:val="22"/>
          <w:lang w:val="fr-CH" w:eastAsia="de-CH"/>
        </w:rPr>
      </w:pPr>
    </w:p>
    <w:p w:rsidR="003B714E" w:rsidRDefault="003B714E" w:rsidP="00D86830">
      <w:pPr>
        <w:spacing w:after="0" w:line="240" w:lineRule="auto"/>
        <w:rPr>
          <w:rFonts w:ascii="Calibri" w:hAnsi="Calibri" w:cs="Arial"/>
          <w:b/>
          <w:sz w:val="22"/>
          <w:lang w:val="fr-CH" w:eastAsia="de-CH"/>
        </w:rPr>
      </w:pPr>
    </w:p>
    <w:p w:rsidR="003B714E" w:rsidRPr="00F10596" w:rsidRDefault="003B714E" w:rsidP="00D86830">
      <w:pPr>
        <w:spacing w:after="0" w:line="240" w:lineRule="auto"/>
        <w:rPr>
          <w:rFonts w:ascii="Calibri" w:hAnsi="Calibri" w:cs="Arial"/>
          <w:sz w:val="22"/>
          <w:lang w:val="fr-CH" w:eastAsia="de-CH"/>
        </w:rPr>
      </w:pPr>
      <w:r w:rsidRPr="00F10596">
        <w:rPr>
          <w:rFonts w:ascii="Calibri" w:hAnsi="Calibri" w:cs="Arial"/>
          <w:b/>
          <w:sz w:val="22"/>
          <w:lang w:val="fr-CH" w:eastAsia="de-CH"/>
        </w:rPr>
        <w:t>Personne de contact pour des compléments d’information :</w:t>
      </w:r>
      <w:r w:rsidRPr="00F10596">
        <w:rPr>
          <w:rFonts w:ascii="Calibri" w:hAnsi="Calibri" w:cs="Arial"/>
          <w:b/>
          <w:sz w:val="22"/>
          <w:lang w:val="fr-CH" w:eastAsia="de-CH"/>
        </w:rPr>
        <w:br/>
      </w:r>
    </w:p>
    <w:p w:rsidR="003B714E" w:rsidRPr="00F10596" w:rsidRDefault="003B714E" w:rsidP="00D86830">
      <w:pPr>
        <w:spacing w:after="0" w:line="240" w:lineRule="auto"/>
        <w:rPr>
          <w:rFonts w:ascii="Calibri" w:hAnsi="Calibri" w:cs="Arial"/>
          <w:sz w:val="22"/>
          <w:lang w:val="fr-CH" w:eastAsia="de-CH"/>
        </w:rPr>
      </w:pPr>
      <w:r w:rsidRPr="00F10596">
        <w:rPr>
          <w:rFonts w:ascii="Calibri" w:hAnsi="Calibri" w:cs="Arial"/>
          <w:sz w:val="22"/>
          <w:lang w:val="fr-CH" w:eastAsia="de-CH"/>
        </w:rPr>
        <w:t>Roger Seifritz, directeur, tél. 031 329 67 67</w:t>
      </w:r>
    </w:p>
    <w:p w:rsidR="003B714E" w:rsidRPr="00F10596" w:rsidRDefault="003B714E" w:rsidP="00226498">
      <w:pPr>
        <w:autoSpaceDE w:val="0"/>
        <w:autoSpaceDN w:val="0"/>
        <w:adjustRightInd w:val="0"/>
        <w:spacing w:after="0" w:line="240" w:lineRule="auto"/>
        <w:rPr>
          <w:rFonts w:ascii="Calibri" w:hAnsi="Calibri" w:cs="Calibri"/>
          <w:bCs/>
          <w:sz w:val="22"/>
          <w:lang w:val="fr-CH" w:eastAsia="de-CH"/>
        </w:rPr>
      </w:pPr>
      <w:r w:rsidRPr="00F10596">
        <w:rPr>
          <w:rFonts w:ascii="Calibri" w:hAnsi="Calibri" w:cs="Calibri"/>
          <w:bCs/>
          <w:sz w:val="22"/>
          <w:lang w:val="fr-CH" w:eastAsia="de-CH"/>
        </w:rPr>
        <w:t>Téléchargement du communiqué aux médias et photos: reka.ch/med</w:t>
      </w:r>
      <w:r>
        <w:rPr>
          <w:rFonts w:ascii="Calibri" w:hAnsi="Calibri" w:cs="Calibri"/>
          <w:bCs/>
          <w:sz w:val="22"/>
          <w:lang w:val="fr-CH" w:eastAsia="de-CH"/>
        </w:rPr>
        <w:t>ias</w:t>
      </w:r>
      <w:bookmarkStart w:id="0" w:name="_GoBack"/>
      <w:bookmarkEnd w:id="0"/>
    </w:p>
    <w:sectPr w:rsidR="003B714E" w:rsidRPr="00F10596" w:rsidSect="00226498">
      <w:headerReference w:type="default" r:id="rId7"/>
      <w:footerReference w:type="default" r:id="rId8"/>
      <w:headerReference w:type="first" r:id="rId9"/>
      <w:footerReference w:type="first" r:id="rId10"/>
      <w:pgSz w:w="11906" w:h="16838" w:code="9"/>
      <w:pgMar w:top="1560" w:right="1134" w:bottom="567" w:left="1304" w:header="709" w:footer="1276"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4E" w:rsidRDefault="003B714E" w:rsidP="003439F1">
      <w:r>
        <w:separator/>
      </w:r>
    </w:p>
  </w:endnote>
  <w:endnote w:type="continuationSeparator" w:id="0">
    <w:p w:rsidR="003B714E" w:rsidRDefault="003B714E" w:rsidP="00343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4E" w:rsidRDefault="003B714E">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0" type="#_x0000_t75" alt="Balken_rgb_fuer_A4" style="position:absolute;margin-left:-41.65pt;margin-top:48.45pt;width:568.9pt;height:12.2pt;z-index:251658240;visibility:visible">
          <v:imagedata r:id="rId1" o:title="" blacklevel="-3277f"/>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4E" w:rsidRDefault="003B714E" w:rsidP="00C77A30">
    <w:pPr>
      <w:pStyle w:val="Footer"/>
      <w:tabs>
        <w:tab w:val="clear"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2" type="#_x0000_t75" alt="Balken_rgb_fuer_A4" style="position:absolute;margin-left:-37.7pt;margin-top:49.55pt;width:541.5pt;height:12pt;z-index:251657216;visibility:visible">
          <v:imagedata r:id="rId1" o:title="" blacklevel="-3277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4E" w:rsidRDefault="003B714E" w:rsidP="003439F1">
      <w:r>
        <w:separator/>
      </w:r>
    </w:p>
  </w:footnote>
  <w:footnote w:type="continuationSeparator" w:id="0">
    <w:p w:rsidR="003B714E" w:rsidRDefault="003B714E" w:rsidP="00343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4E" w:rsidRDefault="003B714E" w:rsidP="00E23559">
    <w:pPr>
      <w:pStyle w:val="Header"/>
      <w:tabs>
        <w:tab w:val="clear" w:pos="4536"/>
        <w:tab w:val="clear" w:pos="9072"/>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Logo_rgb_fuer_A4" style="position:absolute;left:0;text-align:left;margin-left:378.5pt;margin-top:-10.5pt;width:113.45pt;height:24.2pt;z-index:251659264;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4E" w:rsidRDefault="003B714E" w:rsidP="00E235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1" type="#_x0000_t75" alt="Logo_rgb_fuer_A4" style="position:absolute;margin-left:378.6pt;margin-top:-11.7pt;width:113.45pt;height:24.2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C7062"/>
    <w:multiLevelType w:val="hybridMultilevel"/>
    <w:tmpl w:val="412ED6F4"/>
    <w:lvl w:ilvl="0" w:tplc="08070001">
      <w:start w:val="1"/>
      <w:numFmt w:val="bullet"/>
      <w:lvlText w:val=""/>
      <w:lvlJc w:val="left"/>
      <w:pPr>
        <w:tabs>
          <w:tab w:val="num" w:pos="2700"/>
        </w:tabs>
        <w:ind w:left="2700" w:hanging="360"/>
      </w:pPr>
      <w:rPr>
        <w:rFonts w:ascii="Symbol" w:hAnsi="Symbol" w:hint="default"/>
      </w:rPr>
    </w:lvl>
    <w:lvl w:ilvl="1" w:tplc="08070003" w:tentative="1">
      <w:start w:val="1"/>
      <w:numFmt w:val="bullet"/>
      <w:lvlText w:val="o"/>
      <w:lvlJc w:val="left"/>
      <w:pPr>
        <w:tabs>
          <w:tab w:val="num" w:pos="3420"/>
        </w:tabs>
        <w:ind w:left="3420" w:hanging="360"/>
      </w:pPr>
      <w:rPr>
        <w:rFonts w:ascii="Courier New" w:hAnsi="Courier New" w:hint="default"/>
      </w:rPr>
    </w:lvl>
    <w:lvl w:ilvl="2" w:tplc="08070005" w:tentative="1">
      <w:start w:val="1"/>
      <w:numFmt w:val="bullet"/>
      <w:lvlText w:val=""/>
      <w:lvlJc w:val="left"/>
      <w:pPr>
        <w:tabs>
          <w:tab w:val="num" w:pos="4140"/>
        </w:tabs>
        <w:ind w:left="4140" w:hanging="360"/>
      </w:pPr>
      <w:rPr>
        <w:rFonts w:ascii="Wingdings" w:hAnsi="Wingdings" w:hint="default"/>
      </w:rPr>
    </w:lvl>
    <w:lvl w:ilvl="3" w:tplc="08070001" w:tentative="1">
      <w:start w:val="1"/>
      <w:numFmt w:val="bullet"/>
      <w:lvlText w:val=""/>
      <w:lvlJc w:val="left"/>
      <w:pPr>
        <w:tabs>
          <w:tab w:val="num" w:pos="4860"/>
        </w:tabs>
        <w:ind w:left="4860" w:hanging="360"/>
      </w:pPr>
      <w:rPr>
        <w:rFonts w:ascii="Symbol" w:hAnsi="Symbol" w:hint="default"/>
      </w:rPr>
    </w:lvl>
    <w:lvl w:ilvl="4" w:tplc="08070003" w:tentative="1">
      <w:start w:val="1"/>
      <w:numFmt w:val="bullet"/>
      <w:lvlText w:val="o"/>
      <w:lvlJc w:val="left"/>
      <w:pPr>
        <w:tabs>
          <w:tab w:val="num" w:pos="5580"/>
        </w:tabs>
        <w:ind w:left="5580" w:hanging="360"/>
      </w:pPr>
      <w:rPr>
        <w:rFonts w:ascii="Courier New" w:hAnsi="Courier New" w:hint="default"/>
      </w:rPr>
    </w:lvl>
    <w:lvl w:ilvl="5" w:tplc="08070005" w:tentative="1">
      <w:start w:val="1"/>
      <w:numFmt w:val="bullet"/>
      <w:lvlText w:val=""/>
      <w:lvlJc w:val="left"/>
      <w:pPr>
        <w:tabs>
          <w:tab w:val="num" w:pos="6300"/>
        </w:tabs>
        <w:ind w:left="6300" w:hanging="360"/>
      </w:pPr>
      <w:rPr>
        <w:rFonts w:ascii="Wingdings" w:hAnsi="Wingdings" w:hint="default"/>
      </w:rPr>
    </w:lvl>
    <w:lvl w:ilvl="6" w:tplc="08070001" w:tentative="1">
      <w:start w:val="1"/>
      <w:numFmt w:val="bullet"/>
      <w:lvlText w:val=""/>
      <w:lvlJc w:val="left"/>
      <w:pPr>
        <w:tabs>
          <w:tab w:val="num" w:pos="7020"/>
        </w:tabs>
        <w:ind w:left="7020" w:hanging="360"/>
      </w:pPr>
      <w:rPr>
        <w:rFonts w:ascii="Symbol" w:hAnsi="Symbol" w:hint="default"/>
      </w:rPr>
    </w:lvl>
    <w:lvl w:ilvl="7" w:tplc="08070003" w:tentative="1">
      <w:start w:val="1"/>
      <w:numFmt w:val="bullet"/>
      <w:lvlText w:val="o"/>
      <w:lvlJc w:val="left"/>
      <w:pPr>
        <w:tabs>
          <w:tab w:val="num" w:pos="7740"/>
        </w:tabs>
        <w:ind w:left="7740" w:hanging="360"/>
      </w:pPr>
      <w:rPr>
        <w:rFonts w:ascii="Courier New" w:hAnsi="Courier New" w:hint="default"/>
      </w:rPr>
    </w:lvl>
    <w:lvl w:ilvl="8" w:tplc="08070005" w:tentative="1">
      <w:start w:val="1"/>
      <w:numFmt w:val="bullet"/>
      <w:lvlText w:val=""/>
      <w:lvlJc w:val="left"/>
      <w:pPr>
        <w:tabs>
          <w:tab w:val="num" w:pos="8460"/>
        </w:tabs>
        <w:ind w:left="8460" w:hanging="360"/>
      </w:pPr>
      <w:rPr>
        <w:rFonts w:ascii="Wingdings" w:hAnsi="Wingdings" w:hint="default"/>
      </w:rPr>
    </w:lvl>
  </w:abstractNum>
  <w:abstractNum w:abstractNumId="1">
    <w:nsid w:val="2B1E6B70"/>
    <w:multiLevelType w:val="hybridMultilevel"/>
    <w:tmpl w:val="E8CC7AC6"/>
    <w:lvl w:ilvl="0" w:tplc="0407000B">
      <w:start w:val="1"/>
      <w:numFmt w:val="bullet"/>
      <w:lvlText w:val=""/>
      <w:lvlJc w:val="left"/>
      <w:pPr>
        <w:tabs>
          <w:tab w:val="num" w:pos="2877"/>
        </w:tabs>
        <w:ind w:left="2877" w:hanging="360"/>
      </w:pPr>
      <w:rPr>
        <w:rFonts w:ascii="Wingdings" w:hAnsi="Wingdings" w:hint="default"/>
      </w:rPr>
    </w:lvl>
    <w:lvl w:ilvl="1" w:tplc="04070003">
      <w:start w:val="1"/>
      <w:numFmt w:val="bullet"/>
      <w:lvlText w:val="o"/>
      <w:lvlJc w:val="left"/>
      <w:pPr>
        <w:tabs>
          <w:tab w:val="num" w:pos="3597"/>
        </w:tabs>
        <w:ind w:left="3597" w:hanging="360"/>
      </w:pPr>
      <w:rPr>
        <w:rFonts w:ascii="Courier New" w:hAnsi="Courier New" w:hint="default"/>
      </w:rPr>
    </w:lvl>
    <w:lvl w:ilvl="2" w:tplc="04070005" w:tentative="1">
      <w:start w:val="1"/>
      <w:numFmt w:val="bullet"/>
      <w:lvlText w:val=""/>
      <w:lvlJc w:val="left"/>
      <w:pPr>
        <w:tabs>
          <w:tab w:val="num" w:pos="4317"/>
        </w:tabs>
        <w:ind w:left="4317" w:hanging="360"/>
      </w:pPr>
      <w:rPr>
        <w:rFonts w:ascii="Wingdings" w:hAnsi="Wingdings" w:hint="default"/>
      </w:rPr>
    </w:lvl>
    <w:lvl w:ilvl="3" w:tplc="04070001" w:tentative="1">
      <w:start w:val="1"/>
      <w:numFmt w:val="bullet"/>
      <w:lvlText w:val=""/>
      <w:lvlJc w:val="left"/>
      <w:pPr>
        <w:tabs>
          <w:tab w:val="num" w:pos="5037"/>
        </w:tabs>
        <w:ind w:left="5037" w:hanging="360"/>
      </w:pPr>
      <w:rPr>
        <w:rFonts w:ascii="Symbol" w:hAnsi="Symbol" w:hint="default"/>
      </w:rPr>
    </w:lvl>
    <w:lvl w:ilvl="4" w:tplc="04070003" w:tentative="1">
      <w:start w:val="1"/>
      <w:numFmt w:val="bullet"/>
      <w:lvlText w:val="o"/>
      <w:lvlJc w:val="left"/>
      <w:pPr>
        <w:tabs>
          <w:tab w:val="num" w:pos="5757"/>
        </w:tabs>
        <w:ind w:left="5757" w:hanging="360"/>
      </w:pPr>
      <w:rPr>
        <w:rFonts w:ascii="Courier New" w:hAnsi="Courier New" w:hint="default"/>
      </w:rPr>
    </w:lvl>
    <w:lvl w:ilvl="5" w:tplc="04070005" w:tentative="1">
      <w:start w:val="1"/>
      <w:numFmt w:val="bullet"/>
      <w:lvlText w:val=""/>
      <w:lvlJc w:val="left"/>
      <w:pPr>
        <w:tabs>
          <w:tab w:val="num" w:pos="6477"/>
        </w:tabs>
        <w:ind w:left="6477" w:hanging="360"/>
      </w:pPr>
      <w:rPr>
        <w:rFonts w:ascii="Wingdings" w:hAnsi="Wingdings" w:hint="default"/>
      </w:rPr>
    </w:lvl>
    <w:lvl w:ilvl="6" w:tplc="04070001" w:tentative="1">
      <w:start w:val="1"/>
      <w:numFmt w:val="bullet"/>
      <w:lvlText w:val=""/>
      <w:lvlJc w:val="left"/>
      <w:pPr>
        <w:tabs>
          <w:tab w:val="num" w:pos="7197"/>
        </w:tabs>
        <w:ind w:left="7197" w:hanging="360"/>
      </w:pPr>
      <w:rPr>
        <w:rFonts w:ascii="Symbol" w:hAnsi="Symbol" w:hint="default"/>
      </w:rPr>
    </w:lvl>
    <w:lvl w:ilvl="7" w:tplc="04070003" w:tentative="1">
      <w:start w:val="1"/>
      <w:numFmt w:val="bullet"/>
      <w:lvlText w:val="o"/>
      <w:lvlJc w:val="left"/>
      <w:pPr>
        <w:tabs>
          <w:tab w:val="num" w:pos="7917"/>
        </w:tabs>
        <w:ind w:left="7917" w:hanging="360"/>
      </w:pPr>
      <w:rPr>
        <w:rFonts w:ascii="Courier New" w:hAnsi="Courier New" w:hint="default"/>
      </w:rPr>
    </w:lvl>
    <w:lvl w:ilvl="8" w:tplc="04070005" w:tentative="1">
      <w:start w:val="1"/>
      <w:numFmt w:val="bullet"/>
      <w:lvlText w:val=""/>
      <w:lvlJc w:val="left"/>
      <w:pPr>
        <w:tabs>
          <w:tab w:val="num" w:pos="8637"/>
        </w:tabs>
        <w:ind w:left="8637" w:hanging="360"/>
      </w:pPr>
      <w:rPr>
        <w:rFonts w:ascii="Wingdings" w:hAnsi="Wingdings" w:hint="default"/>
      </w:rPr>
    </w:lvl>
  </w:abstractNum>
  <w:abstractNum w:abstractNumId="2">
    <w:nsid w:val="42226091"/>
    <w:multiLevelType w:val="hybridMultilevel"/>
    <w:tmpl w:val="BA4C8B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B481124"/>
    <w:multiLevelType w:val="hybridMultilevel"/>
    <w:tmpl w:val="A7F291C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830"/>
    <w:rsid w:val="0000001B"/>
    <w:rsid w:val="00005FA7"/>
    <w:rsid w:val="000103A5"/>
    <w:rsid w:val="00012171"/>
    <w:rsid w:val="00012514"/>
    <w:rsid w:val="00014400"/>
    <w:rsid w:val="000351A8"/>
    <w:rsid w:val="0003734C"/>
    <w:rsid w:val="000409ED"/>
    <w:rsid w:val="00066937"/>
    <w:rsid w:val="00083C86"/>
    <w:rsid w:val="00084C7F"/>
    <w:rsid w:val="00097C7E"/>
    <w:rsid w:val="000A37E3"/>
    <w:rsid w:val="000A68CD"/>
    <w:rsid w:val="000B4808"/>
    <w:rsid w:val="000B6620"/>
    <w:rsid w:val="000D057C"/>
    <w:rsid w:val="00110837"/>
    <w:rsid w:val="00132FAC"/>
    <w:rsid w:val="0014084B"/>
    <w:rsid w:val="001657B1"/>
    <w:rsid w:val="00180848"/>
    <w:rsid w:val="00194CC5"/>
    <w:rsid w:val="001A1145"/>
    <w:rsid w:val="001A2E80"/>
    <w:rsid w:val="001D7E9E"/>
    <w:rsid w:val="001E0BFE"/>
    <w:rsid w:val="001E132D"/>
    <w:rsid w:val="001F3BA3"/>
    <w:rsid w:val="001F5935"/>
    <w:rsid w:val="002137C9"/>
    <w:rsid w:val="00226498"/>
    <w:rsid w:val="00235E15"/>
    <w:rsid w:val="002435A2"/>
    <w:rsid w:val="002605FF"/>
    <w:rsid w:val="00277A22"/>
    <w:rsid w:val="00280715"/>
    <w:rsid w:val="002840A1"/>
    <w:rsid w:val="0028620E"/>
    <w:rsid w:val="00293D7A"/>
    <w:rsid w:val="002C4064"/>
    <w:rsid w:val="002E0158"/>
    <w:rsid w:val="002E29FC"/>
    <w:rsid w:val="002E49F5"/>
    <w:rsid w:val="002E726E"/>
    <w:rsid w:val="00306278"/>
    <w:rsid w:val="00306E6A"/>
    <w:rsid w:val="00313152"/>
    <w:rsid w:val="00330E54"/>
    <w:rsid w:val="003439F1"/>
    <w:rsid w:val="00362372"/>
    <w:rsid w:val="00374BD8"/>
    <w:rsid w:val="003975E4"/>
    <w:rsid w:val="003B714E"/>
    <w:rsid w:val="003D1DFD"/>
    <w:rsid w:val="003D5DBB"/>
    <w:rsid w:val="003E14E3"/>
    <w:rsid w:val="003E78F2"/>
    <w:rsid w:val="004073E9"/>
    <w:rsid w:val="004246AB"/>
    <w:rsid w:val="00434874"/>
    <w:rsid w:val="00440579"/>
    <w:rsid w:val="004415C4"/>
    <w:rsid w:val="00455004"/>
    <w:rsid w:val="00462D77"/>
    <w:rsid w:val="004637FE"/>
    <w:rsid w:val="004640CD"/>
    <w:rsid w:val="00467787"/>
    <w:rsid w:val="00470D8E"/>
    <w:rsid w:val="00491AE9"/>
    <w:rsid w:val="00491B37"/>
    <w:rsid w:val="00496902"/>
    <w:rsid w:val="004C0D55"/>
    <w:rsid w:val="004D0884"/>
    <w:rsid w:val="004E5C63"/>
    <w:rsid w:val="004F20B3"/>
    <w:rsid w:val="004F5ED1"/>
    <w:rsid w:val="005077F3"/>
    <w:rsid w:val="00510FAC"/>
    <w:rsid w:val="0052386E"/>
    <w:rsid w:val="00523AD3"/>
    <w:rsid w:val="0053699C"/>
    <w:rsid w:val="00553227"/>
    <w:rsid w:val="00554A2C"/>
    <w:rsid w:val="005553B9"/>
    <w:rsid w:val="0055550D"/>
    <w:rsid w:val="005925F0"/>
    <w:rsid w:val="005B2E95"/>
    <w:rsid w:val="005B623E"/>
    <w:rsid w:val="005C4AAE"/>
    <w:rsid w:val="005D71CD"/>
    <w:rsid w:val="005E30B3"/>
    <w:rsid w:val="005E6BEE"/>
    <w:rsid w:val="005F28F9"/>
    <w:rsid w:val="00606590"/>
    <w:rsid w:val="00621111"/>
    <w:rsid w:val="00622E51"/>
    <w:rsid w:val="006402AF"/>
    <w:rsid w:val="00644937"/>
    <w:rsid w:val="00651B55"/>
    <w:rsid w:val="00653273"/>
    <w:rsid w:val="00662AAF"/>
    <w:rsid w:val="00667F67"/>
    <w:rsid w:val="00693153"/>
    <w:rsid w:val="006A4408"/>
    <w:rsid w:val="006B544D"/>
    <w:rsid w:val="006C3D83"/>
    <w:rsid w:val="006F20EE"/>
    <w:rsid w:val="006F5A55"/>
    <w:rsid w:val="00701066"/>
    <w:rsid w:val="0071401B"/>
    <w:rsid w:val="0071680D"/>
    <w:rsid w:val="00720152"/>
    <w:rsid w:val="007323E0"/>
    <w:rsid w:val="007451C2"/>
    <w:rsid w:val="00765FD2"/>
    <w:rsid w:val="0078792C"/>
    <w:rsid w:val="007B38E0"/>
    <w:rsid w:val="007B509E"/>
    <w:rsid w:val="007C6B99"/>
    <w:rsid w:val="007D3252"/>
    <w:rsid w:val="007F4839"/>
    <w:rsid w:val="008141A0"/>
    <w:rsid w:val="0082301A"/>
    <w:rsid w:val="008272C7"/>
    <w:rsid w:val="008277A0"/>
    <w:rsid w:val="00857F7F"/>
    <w:rsid w:val="00863BFB"/>
    <w:rsid w:val="008720A7"/>
    <w:rsid w:val="00880A9B"/>
    <w:rsid w:val="008908E0"/>
    <w:rsid w:val="00892A3B"/>
    <w:rsid w:val="00892FA7"/>
    <w:rsid w:val="00893446"/>
    <w:rsid w:val="008934C7"/>
    <w:rsid w:val="008A45DC"/>
    <w:rsid w:val="008A59F3"/>
    <w:rsid w:val="008F141B"/>
    <w:rsid w:val="008F53D2"/>
    <w:rsid w:val="008F58B1"/>
    <w:rsid w:val="009019A4"/>
    <w:rsid w:val="00911EF6"/>
    <w:rsid w:val="00920F91"/>
    <w:rsid w:val="0092792F"/>
    <w:rsid w:val="00941E74"/>
    <w:rsid w:val="00943C4D"/>
    <w:rsid w:val="0094775E"/>
    <w:rsid w:val="00952A7C"/>
    <w:rsid w:val="009602E5"/>
    <w:rsid w:val="00987D3C"/>
    <w:rsid w:val="009A21ED"/>
    <w:rsid w:val="009A576F"/>
    <w:rsid w:val="009B7D11"/>
    <w:rsid w:val="009D6061"/>
    <w:rsid w:val="009E3424"/>
    <w:rsid w:val="009E5DED"/>
    <w:rsid w:val="009E687D"/>
    <w:rsid w:val="00A047E4"/>
    <w:rsid w:val="00A11A72"/>
    <w:rsid w:val="00A22708"/>
    <w:rsid w:val="00A26BB2"/>
    <w:rsid w:val="00A35035"/>
    <w:rsid w:val="00A4052E"/>
    <w:rsid w:val="00A52CE1"/>
    <w:rsid w:val="00A64E91"/>
    <w:rsid w:val="00A70928"/>
    <w:rsid w:val="00A73F35"/>
    <w:rsid w:val="00A811B6"/>
    <w:rsid w:val="00A815E8"/>
    <w:rsid w:val="00A83526"/>
    <w:rsid w:val="00AA2FB9"/>
    <w:rsid w:val="00AA4D7F"/>
    <w:rsid w:val="00AC2265"/>
    <w:rsid w:val="00AC6323"/>
    <w:rsid w:val="00AD2115"/>
    <w:rsid w:val="00AD7888"/>
    <w:rsid w:val="00B00523"/>
    <w:rsid w:val="00B15090"/>
    <w:rsid w:val="00B15A85"/>
    <w:rsid w:val="00B27C6E"/>
    <w:rsid w:val="00B32374"/>
    <w:rsid w:val="00B40B3B"/>
    <w:rsid w:val="00B43596"/>
    <w:rsid w:val="00B62478"/>
    <w:rsid w:val="00B625E7"/>
    <w:rsid w:val="00B64226"/>
    <w:rsid w:val="00B71F11"/>
    <w:rsid w:val="00B7637F"/>
    <w:rsid w:val="00B84BDD"/>
    <w:rsid w:val="00B85382"/>
    <w:rsid w:val="00BA607F"/>
    <w:rsid w:val="00BB6E9C"/>
    <w:rsid w:val="00BC1645"/>
    <w:rsid w:val="00BC3D77"/>
    <w:rsid w:val="00BD12EE"/>
    <w:rsid w:val="00BD5244"/>
    <w:rsid w:val="00BF5C49"/>
    <w:rsid w:val="00BF6A42"/>
    <w:rsid w:val="00C026BF"/>
    <w:rsid w:val="00C34209"/>
    <w:rsid w:val="00C5210D"/>
    <w:rsid w:val="00C73DDF"/>
    <w:rsid w:val="00C77A30"/>
    <w:rsid w:val="00C811A7"/>
    <w:rsid w:val="00C83D9F"/>
    <w:rsid w:val="00C9580F"/>
    <w:rsid w:val="00CA7092"/>
    <w:rsid w:val="00CC5D8F"/>
    <w:rsid w:val="00CF3F15"/>
    <w:rsid w:val="00D11920"/>
    <w:rsid w:val="00D331C5"/>
    <w:rsid w:val="00D3679A"/>
    <w:rsid w:val="00D56828"/>
    <w:rsid w:val="00D62CF2"/>
    <w:rsid w:val="00D7177C"/>
    <w:rsid w:val="00D86830"/>
    <w:rsid w:val="00DA7364"/>
    <w:rsid w:val="00DB3130"/>
    <w:rsid w:val="00DC5DC9"/>
    <w:rsid w:val="00DD6706"/>
    <w:rsid w:val="00DE1A6E"/>
    <w:rsid w:val="00DE6D5B"/>
    <w:rsid w:val="00DF041E"/>
    <w:rsid w:val="00DF380D"/>
    <w:rsid w:val="00DF67F9"/>
    <w:rsid w:val="00E0039F"/>
    <w:rsid w:val="00E00A6B"/>
    <w:rsid w:val="00E010CB"/>
    <w:rsid w:val="00E03D45"/>
    <w:rsid w:val="00E07AA6"/>
    <w:rsid w:val="00E123A5"/>
    <w:rsid w:val="00E13B82"/>
    <w:rsid w:val="00E23559"/>
    <w:rsid w:val="00E25F66"/>
    <w:rsid w:val="00E323E7"/>
    <w:rsid w:val="00E41AD7"/>
    <w:rsid w:val="00E50BFB"/>
    <w:rsid w:val="00E726A9"/>
    <w:rsid w:val="00E766BB"/>
    <w:rsid w:val="00E76BD1"/>
    <w:rsid w:val="00E80D91"/>
    <w:rsid w:val="00E81C7F"/>
    <w:rsid w:val="00E82BEB"/>
    <w:rsid w:val="00E8625F"/>
    <w:rsid w:val="00E90C2D"/>
    <w:rsid w:val="00EB0059"/>
    <w:rsid w:val="00EB654C"/>
    <w:rsid w:val="00EC265E"/>
    <w:rsid w:val="00EC2A31"/>
    <w:rsid w:val="00EC52C9"/>
    <w:rsid w:val="00ED46D2"/>
    <w:rsid w:val="00ED4DAC"/>
    <w:rsid w:val="00EF361C"/>
    <w:rsid w:val="00F01B27"/>
    <w:rsid w:val="00F05552"/>
    <w:rsid w:val="00F07077"/>
    <w:rsid w:val="00F10596"/>
    <w:rsid w:val="00F17C97"/>
    <w:rsid w:val="00F41119"/>
    <w:rsid w:val="00F419E6"/>
    <w:rsid w:val="00F459FB"/>
    <w:rsid w:val="00F5208E"/>
    <w:rsid w:val="00F56D0E"/>
    <w:rsid w:val="00F60475"/>
    <w:rsid w:val="00F60DBF"/>
    <w:rsid w:val="00F678E4"/>
    <w:rsid w:val="00F7075A"/>
    <w:rsid w:val="00F81E63"/>
    <w:rsid w:val="00FA02A4"/>
    <w:rsid w:val="00FA6D54"/>
    <w:rsid w:val="00FB5F57"/>
    <w:rsid w:val="00FD5423"/>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30"/>
    <w:pPr>
      <w:spacing w:after="200" w:line="276" w:lineRule="auto"/>
    </w:pPr>
    <w:rPr>
      <w:rFonts w:ascii="Georgia" w:hAnsi="Georgia"/>
      <w:sz w:val="20"/>
      <w:lang w:eastAsia="en-US"/>
    </w:rPr>
  </w:style>
  <w:style w:type="paragraph" w:styleId="Heading1">
    <w:name w:val="heading 1"/>
    <w:basedOn w:val="Normal"/>
    <w:next w:val="Normal"/>
    <w:link w:val="Heading1Char"/>
    <w:uiPriority w:val="99"/>
    <w:qFormat/>
    <w:rsid w:val="004246AB"/>
    <w:pPr>
      <w:keepNext/>
      <w:tabs>
        <w:tab w:val="left" w:pos="1605"/>
      </w:tabs>
      <w:spacing w:after="120" w:line="240" w:lineRule="auto"/>
      <w:jc w:val="center"/>
      <w:outlineLvl w:val="0"/>
    </w:pPr>
    <w:rPr>
      <w:rFonts w:ascii="Arial" w:hAnsi="Arial"/>
      <w:b/>
      <w:i/>
      <w:szCs w:val="24"/>
      <w:lang w:val="de-DE" w:eastAsia="de-DE"/>
    </w:rPr>
  </w:style>
  <w:style w:type="paragraph" w:styleId="Heading2">
    <w:name w:val="heading 2"/>
    <w:basedOn w:val="Normal"/>
    <w:next w:val="Normal"/>
    <w:link w:val="Heading2Char"/>
    <w:uiPriority w:val="99"/>
    <w:qFormat/>
    <w:rsid w:val="00D3679A"/>
    <w:pPr>
      <w:keepNext/>
      <w:spacing w:before="240" w:after="60" w:line="240" w:lineRule="auto"/>
      <w:outlineLvl w:val="1"/>
    </w:pPr>
    <w:rPr>
      <w:rFonts w:ascii="Cambria" w:hAnsi="Cambria"/>
      <w:b/>
      <w:bCs/>
      <w:i/>
      <w:iCs/>
      <w:sz w:val="28"/>
      <w:szCs w:val="28"/>
      <w:lang w:eastAsia="de-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607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3679A"/>
    <w:rPr>
      <w:rFonts w:ascii="Cambria" w:hAnsi="Cambria" w:cs="Times New Roman"/>
      <w:b/>
      <w:i/>
      <w:sz w:val="28"/>
    </w:rPr>
  </w:style>
  <w:style w:type="paragraph" w:styleId="BodyTextIndent">
    <w:name w:val="Body Text Indent"/>
    <w:basedOn w:val="Normal"/>
    <w:link w:val="BodyTextIndentChar"/>
    <w:uiPriority w:val="99"/>
    <w:rsid w:val="004246AB"/>
    <w:pPr>
      <w:tabs>
        <w:tab w:val="left" w:pos="1980"/>
      </w:tabs>
      <w:spacing w:after="0" w:line="240" w:lineRule="auto"/>
      <w:ind w:left="1980" w:hanging="1980"/>
    </w:pPr>
    <w:rPr>
      <w:rFonts w:ascii="Arial" w:hAnsi="Arial"/>
      <w:sz w:val="22"/>
      <w:szCs w:val="24"/>
      <w:lang w:val="de-DE" w:eastAsia="de-DE"/>
    </w:rPr>
  </w:style>
  <w:style w:type="character" w:customStyle="1" w:styleId="BodyTextIndentChar">
    <w:name w:val="Body Text Indent Char"/>
    <w:basedOn w:val="DefaultParagraphFont"/>
    <w:link w:val="BodyTextIndent"/>
    <w:uiPriority w:val="99"/>
    <w:semiHidden/>
    <w:locked/>
    <w:rsid w:val="00BA607F"/>
    <w:rPr>
      <w:rFonts w:ascii="Georgia" w:hAnsi="Georgia" w:cs="Times New Roman"/>
      <w:sz w:val="20"/>
      <w:lang w:eastAsia="en-US"/>
    </w:rPr>
  </w:style>
  <w:style w:type="paragraph" w:styleId="BalloonText">
    <w:name w:val="Balloon Text"/>
    <w:basedOn w:val="Normal"/>
    <w:link w:val="BalloonTextChar"/>
    <w:uiPriority w:val="99"/>
    <w:semiHidden/>
    <w:rsid w:val="002E01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607F"/>
    <w:rPr>
      <w:rFonts w:cs="Times New Roman"/>
      <w:sz w:val="2"/>
      <w:lang w:eastAsia="en-US"/>
    </w:rPr>
  </w:style>
  <w:style w:type="character" w:styleId="Hyperlink">
    <w:name w:val="Hyperlink"/>
    <w:basedOn w:val="DefaultParagraphFont"/>
    <w:uiPriority w:val="99"/>
    <w:rsid w:val="00BD12EE"/>
    <w:rPr>
      <w:rFonts w:cs="Times New Roman"/>
      <w:color w:val="0000FF"/>
      <w:u w:val="single"/>
    </w:rPr>
  </w:style>
  <w:style w:type="paragraph" w:styleId="Header">
    <w:name w:val="header"/>
    <w:basedOn w:val="Normal"/>
    <w:link w:val="HeaderChar"/>
    <w:uiPriority w:val="99"/>
    <w:rsid w:val="003439F1"/>
    <w:pPr>
      <w:tabs>
        <w:tab w:val="center" w:pos="4536"/>
        <w:tab w:val="right" w:pos="9072"/>
      </w:tabs>
      <w:spacing w:after="0" w:line="240" w:lineRule="auto"/>
    </w:pPr>
    <w:rPr>
      <w:rFonts w:ascii="Arial" w:hAnsi="Arial"/>
      <w:sz w:val="22"/>
      <w:lang w:eastAsia="de-CH"/>
    </w:rPr>
  </w:style>
  <w:style w:type="character" w:customStyle="1" w:styleId="HeaderChar">
    <w:name w:val="Header Char"/>
    <w:basedOn w:val="DefaultParagraphFont"/>
    <w:link w:val="Header"/>
    <w:uiPriority w:val="99"/>
    <w:locked/>
    <w:rsid w:val="003439F1"/>
    <w:rPr>
      <w:rFonts w:ascii="Arial" w:hAnsi="Arial" w:cs="Times New Roman"/>
      <w:sz w:val="22"/>
    </w:rPr>
  </w:style>
  <w:style w:type="paragraph" w:styleId="Footer">
    <w:name w:val="footer"/>
    <w:basedOn w:val="Normal"/>
    <w:link w:val="FooterChar"/>
    <w:uiPriority w:val="99"/>
    <w:rsid w:val="003439F1"/>
    <w:pPr>
      <w:tabs>
        <w:tab w:val="center" w:pos="4536"/>
        <w:tab w:val="right" w:pos="9072"/>
      </w:tabs>
      <w:spacing w:after="0" w:line="240" w:lineRule="auto"/>
    </w:pPr>
    <w:rPr>
      <w:rFonts w:ascii="Arial" w:hAnsi="Arial"/>
      <w:sz w:val="22"/>
      <w:lang w:eastAsia="de-CH"/>
    </w:rPr>
  </w:style>
  <w:style w:type="character" w:customStyle="1" w:styleId="FooterChar">
    <w:name w:val="Footer Char"/>
    <w:basedOn w:val="DefaultParagraphFont"/>
    <w:link w:val="Footer"/>
    <w:uiPriority w:val="99"/>
    <w:locked/>
    <w:rsid w:val="003439F1"/>
    <w:rPr>
      <w:rFonts w:ascii="Arial" w:hAnsi="Arial" w:cs="Times New Roman"/>
      <w:sz w:val="22"/>
    </w:rPr>
  </w:style>
  <w:style w:type="paragraph" w:customStyle="1" w:styleId="Formatvorlage1">
    <w:name w:val="Formatvorlage1"/>
    <w:basedOn w:val="Normal"/>
    <w:uiPriority w:val="99"/>
    <w:rsid w:val="008141A0"/>
    <w:pPr>
      <w:spacing w:after="0" w:line="240" w:lineRule="auto"/>
    </w:pPr>
    <w:rPr>
      <w:rFonts w:ascii="Arial" w:hAnsi="Arial"/>
      <w:sz w:val="22"/>
      <w:szCs w:val="24"/>
      <w:lang w:eastAsia="de-DE"/>
    </w:rPr>
  </w:style>
  <w:style w:type="paragraph" w:styleId="BodyText">
    <w:name w:val="Body Text"/>
    <w:basedOn w:val="Normal"/>
    <w:link w:val="BodyTextChar"/>
    <w:uiPriority w:val="99"/>
    <w:semiHidden/>
    <w:rsid w:val="00D3679A"/>
    <w:pPr>
      <w:spacing w:after="120" w:line="240" w:lineRule="auto"/>
    </w:pPr>
    <w:rPr>
      <w:rFonts w:ascii="Arial" w:hAnsi="Arial"/>
      <w:sz w:val="22"/>
      <w:lang w:eastAsia="de-CH"/>
    </w:rPr>
  </w:style>
  <w:style w:type="character" w:customStyle="1" w:styleId="BodyTextChar">
    <w:name w:val="Body Text Char"/>
    <w:basedOn w:val="DefaultParagraphFont"/>
    <w:link w:val="BodyText"/>
    <w:uiPriority w:val="99"/>
    <w:semiHidden/>
    <w:locked/>
    <w:rsid w:val="00D3679A"/>
    <w:rPr>
      <w:rFonts w:ascii="Arial" w:hAnsi="Arial" w:cs="Times New Roman"/>
      <w:sz w:val="22"/>
    </w:rPr>
  </w:style>
  <w:style w:type="table" w:styleId="TableGrid">
    <w:name w:val="Table Grid"/>
    <w:basedOn w:val="TableNormal"/>
    <w:uiPriority w:val="99"/>
    <w:rsid w:val="00D86830"/>
    <w:rPr>
      <w:rFonts w:ascii="Georgia" w:hAnsi="Georgia"/>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82BEB"/>
    <w:rPr>
      <w:rFonts w:cs="Times New Roman"/>
      <w:sz w:val="16"/>
      <w:szCs w:val="16"/>
    </w:rPr>
  </w:style>
  <w:style w:type="paragraph" w:styleId="CommentText">
    <w:name w:val="annotation text"/>
    <w:basedOn w:val="Normal"/>
    <w:link w:val="CommentTextChar"/>
    <w:uiPriority w:val="99"/>
    <w:semiHidden/>
    <w:rsid w:val="00E82BEB"/>
    <w:pPr>
      <w:spacing w:line="240" w:lineRule="auto"/>
    </w:pPr>
    <w:rPr>
      <w:szCs w:val="20"/>
    </w:rPr>
  </w:style>
  <w:style w:type="character" w:customStyle="1" w:styleId="CommentTextChar">
    <w:name w:val="Comment Text Char"/>
    <w:basedOn w:val="DefaultParagraphFont"/>
    <w:link w:val="CommentText"/>
    <w:uiPriority w:val="99"/>
    <w:semiHidden/>
    <w:locked/>
    <w:rsid w:val="00E82BEB"/>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E82BEB"/>
    <w:rPr>
      <w:b/>
      <w:bCs/>
    </w:rPr>
  </w:style>
  <w:style w:type="character" w:customStyle="1" w:styleId="CommentSubjectChar">
    <w:name w:val="Comment Subject Char"/>
    <w:basedOn w:val="CommentTextChar"/>
    <w:link w:val="CommentSubject"/>
    <w:uiPriority w:val="99"/>
    <w:semiHidden/>
    <w:locked/>
    <w:rsid w:val="00E82BEB"/>
    <w:rPr>
      <w:b/>
      <w:bCs/>
    </w:rPr>
  </w:style>
</w:styles>
</file>

<file path=word/webSettings.xml><?xml version="1.0" encoding="utf-8"?>
<w:webSettings xmlns:r="http://schemas.openxmlformats.org/officeDocument/2006/relationships" xmlns:w="http://schemas.openxmlformats.org/wordprocessingml/2006/main">
  <w:divs>
    <w:div w:id="2071806283">
      <w:marLeft w:val="0"/>
      <w:marRight w:val="0"/>
      <w:marTop w:val="0"/>
      <w:marBottom w:val="0"/>
      <w:divBdr>
        <w:top w:val="none" w:sz="0" w:space="0" w:color="auto"/>
        <w:left w:val="none" w:sz="0" w:space="0" w:color="auto"/>
        <w:bottom w:val="none" w:sz="0" w:space="0" w:color="auto"/>
        <w:right w:val="none" w:sz="0" w:space="0" w:color="auto"/>
      </w:divBdr>
    </w:div>
    <w:div w:id="2071806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618</Words>
  <Characters>3895</Characters>
  <Application>Microsoft Office Outlook</Application>
  <DocSecurity>0</DocSecurity>
  <Lines>0</Lines>
  <Paragraphs>0</Paragraphs>
  <ScaleCrop>false</ScaleCrop>
  <Company>Reka Schweizer Reisekasse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Scheidegger Julia</dc:creator>
  <cp:keywords/>
  <dc:description/>
  <cp:lastModifiedBy>ALI BICER</cp:lastModifiedBy>
  <cp:revision>4</cp:revision>
  <cp:lastPrinted>2016-04-21T06:42:00Z</cp:lastPrinted>
  <dcterms:created xsi:type="dcterms:W3CDTF">2016-04-21T06:41:00Z</dcterms:created>
  <dcterms:modified xsi:type="dcterms:W3CDTF">2016-04-21T18:59:00Z</dcterms:modified>
</cp:coreProperties>
</file>