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C5262" w14:textId="77777777" w:rsidR="005E30B3" w:rsidRPr="000103A5" w:rsidRDefault="005E30B3" w:rsidP="00D86830">
      <w:pPr>
        <w:spacing w:after="0" w:line="240" w:lineRule="auto"/>
        <w:outlineLvl w:val="1"/>
        <w:rPr>
          <w:rFonts w:ascii="Calibri" w:hAnsi="Calibri" w:cs="Arial"/>
          <w:i/>
          <w:sz w:val="22"/>
        </w:rPr>
      </w:pPr>
      <w:r>
        <w:rPr>
          <w:rFonts w:ascii="Calibri" w:hAnsi="Calibri"/>
          <w:i/>
          <w:sz w:val="22"/>
        </w:rPr>
        <w:t>Comunicato stampa</w:t>
      </w:r>
    </w:p>
    <w:p w14:paraId="5EC16187" w14:textId="77777777" w:rsidR="005E30B3" w:rsidRPr="000103A5" w:rsidRDefault="005E30B3" w:rsidP="00D86830">
      <w:pPr>
        <w:spacing w:after="0" w:line="240" w:lineRule="auto"/>
        <w:outlineLvl w:val="1"/>
        <w:rPr>
          <w:rFonts w:ascii="Calibri" w:hAnsi="Calibri" w:cs="Arial"/>
          <w:b/>
          <w:szCs w:val="20"/>
        </w:rPr>
      </w:pPr>
    </w:p>
    <w:p w14:paraId="3BC74F69" w14:textId="77777777" w:rsidR="005E30B3" w:rsidRPr="000103A5" w:rsidRDefault="005E30B3" w:rsidP="00D86830">
      <w:pPr>
        <w:spacing w:after="120" w:line="240" w:lineRule="auto"/>
        <w:outlineLvl w:val="1"/>
        <w:rPr>
          <w:rFonts w:ascii="Calibri" w:hAnsi="Calibri" w:cs="Arial"/>
          <w:b/>
          <w:sz w:val="22"/>
        </w:rPr>
      </w:pPr>
      <w:r>
        <w:rPr>
          <w:rFonts w:ascii="Calibri" w:hAnsi="Calibri"/>
          <w:b/>
          <w:sz w:val="22"/>
        </w:rPr>
        <w:t>Assemblea generale della Cassa svizzera di viaggio Reka in data 21 aprile 2017 a Basilea</w:t>
      </w:r>
    </w:p>
    <w:p w14:paraId="683E410A" w14:textId="77777777" w:rsidR="005E30B3" w:rsidRPr="00CE78C9" w:rsidRDefault="00593C4C" w:rsidP="00D86830">
      <w:pPr>
        <w:spacing w:after="0" w:line="240" w:lineRule="auto"/>
        <w:outlineLvl w:val="0"/>
        <w:rPr>
          <w:rFonts w:ascii="Calibri" w:hAnsi="Calibri" w:cs="Arial"/>
          <w:b/>
          <w:bCs/>
          <w:kern w:val="36"/>
          <w:sz w:val="26"/>
          <w:szCs w:val="26"/>
          <w:highlight w:val="yellow"/>
        </w:rPr>
      </w:pPr>
      <w:r>
        <w:rPr>
          <w:rFonts w:ascii="Calibri" w:hAnsi="Calibri"/>
          <w:b/>
          <w:kern w:val="36"/>
          <w:sz w:val="26"/>
        </w:rPr>
        <w:t xml:space="preserve">Maggiori ricavi, nuove offerte per le vacanze, crescente digitalizzazione </w:t>
      </w:r>
      <w:r>
        <w:rPr>
          <w:rFonts w:ascii="Calibri" w:hAnsi="Calibri" w:cs="Arial"/>
          <w:b/>
          <w:bCs/>
          <w:kern w:val="36"/>
          <w:sz w:val="26"/>
          <w:szCs w:val="26"/>
        </w:rPr>
        <w:br/>
      </w:r>
      <w:r>
        <w:rPr>
          <w:rFonts w:ascii="Calibri" w:hAnsi="Calibri"/>
          <w:b/>
          <w:kern w:val="36"/>
          <w:sz w:val="26"/>
        </w:rPr>
        <w:t>e nuovo presidente</w:t>
      </w:r>
    </w:p>
    <w:p w14:paraId="37520AEE" w14:textId="77777777" w:rsidR="005E30B3" w:rsidRPr="00CE78C9" w:rsidRDefault="005E30B3" w:rsidP="00E80D91">
      <w:pPr>
        <w:spacing w:after="0"/>
        <w:outlineLvl w:val="0"/>
        <w:rPr>
          <w:rFonts w:ascii="Calibri" w:hAnsi="Calibri" w:cs="Arial"/>
          <w:bCs/>
          <w:kern w:val="36"/>
          <w:sz w:val="26"/>
          <w:szCs w:val="26"/>
          <w:highlight w:val="yellow"/>
        </w:rPr>
      </w:pPr>
    </w:p>
    <w:p w14:paraId="617A0E52" w14:textId="77777777" w:rsidR="005E30B3" w:rsidRPr="00CE78C9" w:rsidRDefault="00226498" w:rsidP="00E80D91">
      <w:pPr>
        <w:spacing w:after="0"/>
        <w:rPr>
          <w:rFonts w:ascii="Calibri" w:hAnsi="Calibri"/>
          <w:b/>
          <w:sz w:val="24"/>
          <w:highlight w:val="yellow"/>
        </w:rPr>
      </w:pPr>
      <w:r>
        <w:rPr>
          <w:rFonts w:ascii="Calibri" w:hAnsi="Calibri"/>
          <w:sz w:val="24"/>
        </w:rPr>
        <w:t>Berna/Basilea, 21 aprile 2017 –</w:t>
      </w:r>
      <w:r>
        <w:rPr>
          <w:rFonts w:ascii="Calibri" w:hAnsi="Calibri"/>
          <w:b/>
          <w:sz w:val="24"/>
        </w:rPr>
        <w:t> L’esercizio fiscale 2016 si conclude con un livello maggiore di ricavi e un risultato in pari. In seguito a una completa ristrutturazione, tre complessi turistici sono ripartiti ottenendo immediatamente buoni risultati. Con Valuta Reka 3.0, Reka ha tutte le carte in regola per raggiungere una pietra miliare nell’ambito dell’ulteriore digitalizzazione dell’azienda. La presidenza passerà da Peter Hasler a Marcel Dietrich.</w:t>
      </w:r>
    </w:p>
    <w:p w14:paraId="22845308" w14:textId="77777777" w:rsidR="00E80D91" w:rsidRDefault="00E80D91" w:rsidP="00E80D91">
      <w:pPr>
        <w:spacing w:after="0"/>
        <w:outlineLvl w:val="4"/>
        <w:rPr>
          <w:rFonts w:ascii="Calibri" w:hAnsi="Calibri" w:cs="Arial"/>
          <w:b/>
          <w:bCs/>
          <w:sz w:val="22"/>
          <w:highlight w:val="yellow"/>
        </w:rPr>
      </w:pPr>
    </w:p>
    <w:p w14:paraId="49721B52" w14:textId="7C95DA28" w:rsidR="00AE2C55" w:rsidRPr="00AE2C55" w:rsidRDefault="00300356" w:rsidP="00E80D91">
      <w:pPr>
        <w:spacing w:after="0"/>
        <w:outlineLvl w:val="4"/>
        <w:rPr>
          <w:rFonts w:ascii="Calibri" w:hAnsi="Calibri" w:cs="Arial"/>
          <w:bCs/>
          <w:sz w:val="22"/>
        </w:rPr>
      </w:pPr>
      <w:r>
        <w:rPr>
          <w:rFonts w:ascii="Calibri" w:hAnsi="Calibri"/>
          <w:sz w:val="22"/>
        </w:rPr>
        <w:t>A fronte delle sfavorevoli condizioni generali del mercato, l’esercizio fiscale 2016 può essere considerato positivo. I ricavi sono aumentati del 3,1</w:t>
      </w:r>
      <w:r w:rsidR="004E733B">
        <w:rPr>
          <w:rFonts w:ascii="Calibri" w:hAnsi="Calibri"/>
          <w:sz w:val="22"/>
        </w:rPr>
        <w:t xml:space="preserve"> </w:t>
      </w:r>
      <w:r>
        <w:rPr>
          <w:rFonts w:ascii="Calibri" w:hAnsi="Calibri"/>
          <w:sz w:val="22"/>
        </w:rPr>
        <w:t xml:space="preserve">%, salendo a </w:t>
      </w:r>
      <w:proofErr w:type="gramStart"/>
      <w:r>
        <w:rPr>
          <w:rFonts w:ascii="Calibri" w:hAnsi="Calibri"/>
          <w:sz w:val="22"/>
        </w:rPr>
        <w:t>72</w:t>
      </w:r>
      <w:proofErr w:type="gramEnd"/>
      <w:r>
        <w:rPr>
          <w:rFonts w:ascii="Calibri" w:hAnsi="Calibri"/>
          <w:sz w:val="22"/>
        </w:rPr>
        <w:t xml:space="preserve"> milioni, mentre l’utile lordo è cresciuto </w:t>
      </w:r>
      <w:proofErr w:type="gramStart"/>
      <w:r>
        <w:rPr>
          <w:rFonts w:ascii="Calibri" w:hAnsi="Calibri"/>
          <w:sz w:val="22"/>
        </w:rPr>
        <w:t>addirittura</w:t>
      </w:r>
      <w:proofErr w:type="gramEnd"/>
      <w:r>
        <w:rPr>
          <w:rFonts w:ascii="Calibri" w:hAnsi="Calibri"/>
          <w:sz w:val="22"/>
        </w:rPr>
        <w:t xml:space="preserve"> del 4,9</w:t>
      </w:r>
      <w:r w:rsidR="001E1747">
        <w:rPr>
          <w:rFonts w:ascii="Calibri" w:hAnsi="Calibri"/>
          <w:sz w:val="22"/>
        </w:rPr>
        <w:t xml:space="preserve"> </w:t>
      </w:r>
      <w:r>
        <w:rPr>
          <w:rFonts w:ascii="Calibri" w:hAnsi="Calibri"/>
          <w:sz w:val="22"/>
        </w:rPr>
        <w:t>% raggiungendo quota 40,3 milioni di franchi. Nel settore delle vacanze, Reka ha conseguito un aumento dei ricavi del 2,6</w:t>
      </w:r>
      <w:r w:rsidR="001E1747">
        <w:rPr>
          <w:rFonts w:ascii="Calibri" w:hAnsi="Calibri"/>
          <w:sz w:val="22"/>
        </w:rPr>
        <w:t xml:space="preserve"> </w:t>
      </w:r>
      <w:r>
        <w:rPr>
          <w:rFonts w:ascii="Calibri" w:hAnsi="Calibri"/>
          <w:sz w:val="22"/>
        </w:rPr>
        <w:t>%. Questo risultato è attribuibile alle capacità supplementari nell’offerta e ai maggiori proventi generati da vari complessi turistici esistenti. Rendimenti dell’ordine del 15,3</w:t>
      </w:r>
      <w:r w:rsidR="001E1747">
        <w:rPr>
          <w:rFonts w:ascii="Calibri" w:hAnsi="Calibri"/>
          <w:sz w:val="22"/>
        </w:rPr>
        <w:t xml:space="preserve"> </w:t>
      </w:r>
      <w:r>
        <w:rPr>
          <w:rFonts w:ascii="Calibri" w:hAnsi="Calibri"/>
          <w:sz w:val="22"/>
        </w:rPr>
        <w:t xml:space="preserve">% sugli investimenti patrimoniali hanno contribuito in maniera </w:t>
      </w:r>
      <w:proofErr w:type="gramStart"/>
      <w:r>
        <w:rPr>
          <w:rFonts w:ascii="Calibri" w:hAnsi="Calibri"/>
          <w:sz w:val="22"/>
        </w:rPr>
        <w:t>determinante</w:t>
      </w:r>
      <w:proofErr w:type="gramEnd"/>
      <w:r>
        <w:rPr>
          <w:rFonts w:ascii="Calibri" w:hAnsi="Calibri"/>
          <w:sz w:val="22"/>
        </w:rPr>
        <w:t xml:space="preserve"> all’aumento dei ricavi. Una flessione dei ricavi nel settore Valuta Reka dell’ordine </w:t>
      </w:r>
      <w:proofErr w:type="gramStart"/>
      <w:r>
        <w:rPr>
          <w:rFonts w:ascii="Calibri" w:hAnsi="Calibri"/>
          <w:sz w:val="22"/>
        </w:rPr>
        <w:t>dell’1,5</w:t>
      </w:r>
      <w:proofErr w:type="gramEnd"/>
      <w:r w:rsidR="001E1747">
        <w:rPr>
          <w:rFonts w:ascii="Calibri" w:hAnsi="Calibri"/>
          <w:sz w:val="22"/>
        </w:rPr>
        <w:t xml:space="preserve"> </w:t>
      </w:r>
      <w:r>
        <w:rPr>
          <w:rFonts w:ascii="Calibri" w:hAnsi="Calibri"/>
          <w:sz w:val="22"/>
        </w:rPr>
        <w:t>% ha invece influito negativamente sul risultato aziendale. Le principali cause di questa riduzione vanno ricercate nel ridimensionamento del personale dei clienti aziendali di Reka e nella ristrutturazione delle operazioni logistiche da parte del partner Coop per quanto concerne l’attività di procurement.</w:t>
      </w:r>
    </w:p>
    <w:p w14:paraId="398EE238" w14:textId="77777777" w:rsidR="00AE2C55" w:rsidRPr="00AE2C55" w:rsidRDefault="00AE2C55" w:rsidP="00ED5B6B">
      <w:pPr>
        <w:spacing w:before="120" w:after="0"/>
        <w:outlineLvl w:val="4"/>
        <w:rPr>
          <w:rFonts w:ascii="Calibri" w:hAnsi="Calibri" w:cs="Arial"/>
          <w:b/>
          <w:bCs/>
          <w:sz w:val="22"/>
        </w:rPr>
      </w:pPr>
      <w:r>
        <w:rPr>
          <w:rFonts w:ascii="Calibri" w:hAnsi="Calibri"/>
          <w:b/>
          <w:sz w:val="22"/>
        </w:rPr>
        <w:t>Incidenza dei progetti sul risultato d’esercizio</w:t>
      </w:r>
    </w:p>
    <w:p w14:paraId="3989587C" w14:textId="1BDF2F63" w:rsidR="00AE2C55" w:rsidRPr="00041E34" w:rsidRDefault="00041E34" w:rsidP="00E80D91">
      <w:pPr>
        <w:spacing w:after="0"/>
        <w:outlineLvl w:val="4"/>
        <w:rPr>
          <w:rFonts w:ascii="Calibri" w:hAnsi="Calibri" w:cs="Arial"/>
          <w:bCs/>
          <w:sz w:val="22"/>
        </w:rPr>
      </w:pPr>
      <w:r>
        <w:rPr>
          <w:rFonts w:ascii="Calibri" w:hAnsi="Calibri"/>
          <w:sz w:val="22"/>
        </w:rPr>
        <w:t>A fronte dell’aumento dei ricavi del 33</w:t>
      </w:r>
      <w:proofErr w:type="gramStart"/>
      <w:r w:rsidR="004E733B">
        <w:rPr>
          <w:rFonts w:ascii="Calibri" w:hAnsi="Calibri"/>
          <w:sz w:val="22"/>
        </w:rPr>
        <w:t xml:space="preserve"> </w:t>
      </w:r>
      <w:r>
        <w:rPr>
          <w:rFonts w:ascii="Calibri" w:hAnsi="Calibri"/>
          <w:sz w:val="22"/>
        </w:rPr>
        <w:t>%</w:t>
      </w:r>
      <w:proofErr w:type="gramEnd"/>
      <w:r>
        <w:rPr>
          <w:rFonts w:ascii="Calibri" w:hAnsi="Calibri"/>
          <w:sz w:val="22"/>
        </w:rPr>
        <w:t xml:space="preserve"> è stato possibile migliorare il risultato d’esercizio raggiungendo quota meno 3,5 milioni di franchi. Il risultato d’esercizio rimane tuttavia negativo a causa degli elevati costi del progetto di digitalizzazione Valuta Reka 3.0. Grazie alla realizzazione di proventi straordinari dalla vendita di beni immobili, Reka ha potuto conseguire il pareggio dei conti per l’esercizio finanziario 2016. Queste operazioni sono state effettuate ai fini del riassetto strategico del portafoglio vacanze Reka.</w:t>
      </w:r>
    </w:p>
    <w:p w14:paraId="6514543A" w14:textId="77777777" w:rsidR="00AE2C55" w:rsidRPr="00AE2C55" w:rsidRDefault="00AE2C55" w:rsidP="00ED5B6B">
      <w:pPr>
        <w:spacing w:before="120" w:after="0"/>
        <w:outlineLvl w:val="4"/>
        <w:rPr>
          <w:rFonts w:ascii="Calibri" w:hAnsi="Calibri" w:cs="Arial"/>
          <w:b/>
          <w:bCs/>
          <w:sz w:val="22"/>
        </w:rPr>
      </w:pPr>
      <w:r>
        <w:rPr>
          <w:rFonts w:ascii="Calibri" w:hAnsi="Calibri"/>
          <w:b/>
          <w:sz w:val="22"/>
        </w:rPr>
        <w:t>Gli investimenti nei complessi turistici Reka mostrano buoni frutti</w:t>
      </w:r>
    </w:p>
    <w:p w14:paraId="50D5F9F6" w14:textId="77777777" w:rsidR="001E1747" w:rsidRDefault="00601A9D" w:rsidP="00E80D91">
      <w:pPr>
        <w:spacing w:after="0"/>
        <w:outlineLvl w:val="4"/>
        <w:rPr>
          <w:rFonts w:ascii="Calibri" w:hAnsi="Calibri"/>
          <w:sz w:val="22"/>
        </w:rPr>
      </w:pPr>
      <w:r>
        <w:rPr>
          <w:rFonts w:ascii="Calibri" w:hAnsi="Calibri"/>
          <w:sz w:val="22"/>
        </w:rPr>
        <w:t xml:space="preserve">Nel 2016, Reka ha reso immediatamente operativi </w:t>
      </w:r>
      <w:r w:rsidR="002550E6">
        <w:rPr>
          <w:rFonts w:ascii="Calibri" w:hAnsi="Calibri"/>
          <w:sz w:val="22"/>
        </w:rPr>
        <w:t xml:space="preserve">tre </w:t>
      </w:r>
      <w:r>
        <w:rPr>
          <w:rFonts w:ascii="Calibri" w:hAnsi="Calibri"/>
          <w:sz w:val="22"/>
        </w:rPr>
        <w:t xml:space="preserve">complessi turistici ristrutturati e in parte ampliati: il villaggio turistico Zinal (VS), il Residence </w:t>
      </w:r>
      <w:proofErr w:type="spellStart"/>
      <w:r>
        <w:rPr>
          <w:rFonts w:ascii="Calibri" w:hAnsi="Calibri"/>
          <w:sz w:val="22"/>
        </w:rPr>
        <w:t>Gstaad-Rougemont</w:t>
      </w:r>
      <w:proofErr w:type="spellEnd"/>
      <w:r>
        <w:rPr>
          <w:rFonts w:ascii="Calibri" w:hAnsi="Calibri"/>
          <w:sz w:val="22"/>
        </w:rPr>
        <w:t xml:space="preserve"> (VD) </w:t>
      </w:r>
      <w:proofErr w:type="gramStart"/>
      <w:r>
        <w:rPr>
          <w:rFonts w:ascii="Calibri" w:hAnsi="Calibri"/>
          <w:sz w:val="22"/>
        </w:rPr>
        <w:t>e</w:t>
      </w:r>
      <w:r w:rsidR="001E1747">
        <w:rPr>
          <w:rFonts w:ascii="Calibri" w:hAnsi="Calibri"/>
          <w:sz w:val="22"/>
        </w:rPr>
        <w:t>d</w:t>
      </w:r>
      <w:proofErr w:type="gramEnd"/>
      <w:r>
        <w:rPr>
          <w:rFonts w:ascii="Calibri" w:hAnsi="Calibri"/>
          <w:sz w:val="22"/>
        </w:rPr>
        <w:t xml:space="preserve"> </w:t>
      </w:r>
      <w:r w:rsidR="001E1747">
        <w:rPr>
          <w:rFonts w:ascii="Calibri" w:hAnsi="Calibri"/>
          <w:sz w:val="22"/>
        </w:rPr>
        <w:t xml:space="preserve">il </w:t>
      </w:r>
      <w:proofErr w:type="spellStart"/>
      <w:r w:rsidR="001E1747">
        <w:rPr>
          <w:rFonts w:ascii="Calibri" w:hAnsi="Calibri"/>
          <w:sz w:val="22"/>
        </w:rPr>
        <w:t>r</w:t>
      </w:r>
      <w:r w:rsidR="002550E6">
        <w:rPr>
          <w:rFonts w:ascii="Calibri" w:hAnsi="Calibri"/>
          <w:sz w:val="22"/>
        </w:rPr>
        <w:t>esort</w:t>
      </w:r>
      <w:proofErr w:type="spellEnd"/>
      <w:r w:rsidR="001E1747">
        <w:rPr>
          <w:rFonts w:ascii="Calibri" w:hAnsi="Calibri"/>
          <w:sz w:val="22"/>
        </w:rPr>
        <w:t xml:space="preserve"> di vacanza Reka</w:t>
      </w:r>
      <w:r w:rsidR="002550E6">
        <w:rPr>
          <w:rFonts w:ascii="Calibri" w:hAnsi="Calibri"/>
          <w:sz w:val="22"/>
        </w:rPr>
        <w:t xml:space="preserve"> </w:t>
      </w:r>
      <w:r>
        <w:rPr>
          <w:rFonts w:ascii="Calibri" w:hAnsi="Calibri"/>
          <w:sz w:val="22"/>
        </w:rPr>
        <w:t>Golfo del Sole (Toscana</w:t>
      </w:r>
      <w:r w:rsidR="002550E6">
        <w:rPr>
          <w:rFonts w:ascii="Calibri" w:hAnsi="Calibri"/>
          <w:sz w:val="22"/>
        </w:rPr>
        <w:t>, IT</w:t>
      </w:r>
      <w:r>
        <w:rPr>
          <w:rFonts w:ascii="Calibri" w:hAnsi="Calibri"/>
          <w:sz w:val="22"/>
        </w:rPr>
        <w:t xml:space="preserve">). I ricavi totali e rettificati della capacità dei </w:t>
      </w:r>
      <w:r w:rsidR="002550E6">
        <w:rPr>
          <w:rFonts w:ascii="Calibri" w:hAnsi="Calibri"/>
          <w:sz w:val="22"/>
        </w:rPr>
        <w:t xml:space="preserve">tre </w:t>
      </w:r>
      <w:r>
        <w:rPr>
          <w:rFonts w:ascii="Calibri" w:hAnsi="Calibri"/>
          <w:sz w:val="22"/>
        </w:rPr>
        <w:t xml:space="preserve">complessi turistici sono aumentati </w:t>
      </w:r>
      <w:proofErr w:type="gramStart"/>
      <w:r>
        <w:rPr>
          <w:rFonts w:ascii="Calibri" w:hAnsi="Calibri"/>
          <w:sz w:val="22"/>
        </w:rPr>
        <w:t>dell’</w:t>
      </w:r>
      <w:proofErr w:type="gramEnd"/>
    </w:p>
    <w:p w14:paraId="57F02456" w14:textId="3BE331AD" w:rsidR="00AE2C55" w:rsidRPr="00041E34" w:rsidRDefault="00601A9D" w:rsidP="00E80D91">
      <w:pPr>
        <w:spacing w:after="0"/>
        <w:outlineLvl w:val="4"/>
        <w:rPr>
          <w:rFonts w:asciiTheme="minorHAnsi" w:hAnsiTheme="minorHAnsi" w:cs="Arial"/>
          <w:bCs/>
          <w:sz w:val="22"/>
        </w:rPr>
      </w:pPr>
      <w:r>
        <w:rPr>
          <w:rFonts w:ascii="Calibri" w:hAnsi="Calibri"/>
          <w:sz w:val="22"/>
        </w:rPr>
        <w:t>11</w:t>
      </w:r>
      <w:r w:rsidR="001E1747">
        <w:rPr>
          <w:rFonts w:ascii="Calibri" w:hAnsi="Calibri"/>
          <w:sz w:val="22"/>
        </w:rPr>
        <w:t xml:space="preserve"> </w:t>
      </w:r>
      <w:r>
        <w:rPr>
          <w:rFonts w:ascii="Calibri" w:hAnsi="Calibri"/>
          <w:sz w:val="22"/>
        </w:rPr>
        <w:t xml:space="preserve">% nel primo anno di attività. Le prenotazioni per il 2017 sono </w:t>
      </w:r>
      <w:proofErr w:type="gramStart"/>
      <w:r>
        <w:rPr>
          <w:rFonts w:ascii="Calibri" w:hAnsi="Calibri"/>
          <w:sz w:val="22"/>
        </w:rPr>
        <w:t>attualmente</w:t>
      </w:r>
      <w:proofErr w:type="gramEnd"/>
      <w:r>
        <w:rPr>
          <w:rFonts w:ascii="Calibri" w:hAnsi="Calibri"/>
          <w:sz w:val="22"/>
        </w:rPr>
        <w:t xml:space="preserve"> del </w:t>
      </w:r>
      <w:r w:rsidRPr="001E1747">
        <w:rPr>
          <w:rFonts w:ascii="Calibri" w:hAnsi="Calibri"/>
          <w:sz w:val="22"/>
        </w:rPr>
        <w:t>19</w:t>
      </w:r>
      <w:r w:rsidR="001E1747">
        <w:rPr>
          <w:rFonts w:ascii="Calibri" w:hAnsi="Calibri"/>
          <w:sz w:val="22"/>
        </w:rPr>
        <w:t xml:space="preserve"> </w:t>
      </w:r>
      <w:r w:rsidRPr="001E1747">
        <w:rPr>
          <w:rFonts w:ascii="Calibri" w:hAnsi="Calibri"/>
          <w:sz w:val="22"/>
        </w:rPr>
        <w:t>%</w:t>
      </w:r>
      <w:r>
        <w:rPr>
          <w:rFonts w:ascii="Calibri" w:hAnsi="Calibri"/>
          <w:sz w:val="22"/>
        </w:rPr>
        <w:t xml:space="preserve"> più elevate rispetto all’anno precedente. </w:t>
      </w:r>
      <w:r>
        <w:rPr>
          <w:rFonts w:asciiTheme="minorHAnsi" w:hAnsiTheme="minorHAnsi"/>
          <w:sz w:val="22"/>
        </w:rPr>
        <w:t xml:space="preserve">Si può nel complesso affermare che Reka, grazie agli investimenti effettuati negli ultimi </w:t>
      </w:r>
      <w:r w:rsidR="002550E6">
        <w:rPr>
          <w:rFonts w:asciiTheme="minorHAnsi" w:hAnsiTheme="minorHAnsi"/>
          <w:sz w:val="22"/>
        </w:rPr>
        <w:t xml:space="preserve">dieci </w:t>
      </w:r>
      <w:r>
        <w:rPr>
          <w:rFonts w:asciiTheme="minorHAnsi" w:hAnsiTheme="minorHAnsi"/>
          <w:sz w:val="22"/>
        </w:rPr>
        <w:t xml:space="preserve">anni, si stia dirigendo nella giusta direzione. Tutte le strutture affidate all’azienda durante questo periodo di tempo hanno conseguito un tasso di occupazione superiore alla media rispetto ai restanti appartamenti vacanze Reka. Con 251 giorni di occupazione per appartamento all’anno, questo indice risulta superiore alla media del mercato. </w:t>
      </w:r>
    </w:p>
    <w:p w14:paraId="32AEED55" w14:textId="77777777" w:rsidR="00AE2C55" w:rsidRPr="00AE2C55" w:rsidRDefault="00ED5B6B" w:rsidP="00ED5B6B">
      <w:pPr>
        <w:spacing w:before="120" w:after="0"/>
        <w:outlineLvl w:val="4"/>
        <w:rPr>
          <w:rFonts w:ascii="Calibri" w:hAnsi="Calibri" w:cs="Arial"/>
          <w:b/>
          <w:bCs/>
          <w:sz w:val="22"/>
        </w:rPr>
      </w:pPr>
      <w:r>
        <w:rPr>
          <w:rFonts w:ascii="Calibri" w:hAnsi="Calibri"/>
          <w:b/>
          <w:sz w:val="22"/>
        </w:rPr>
        <w:t>Crescente digitalizzazione con Valuta Reka 3.0</w:t>
      </w:r>
    </w:p>
    <w:p w14:paraId="7BD3938B" w14:textId="16D3CC03" w:rsidR="00ED5B6B" w:rsidRDefault="00ED5B6B" w:rsidP="00E173CE">
      <w:pPr>
        <w:spacing w:after="120"/>
        <w:ind w:right="-28"/>
        <w:rPr>
          <w:rFonts w:asciiTheme="minorHAnsi" w:hAnsiTheme="minorHAnsi"/>
          <w:sz w:val="22"/>
        </w:rPr>
      </w:pPr>
      <w:proofErr w:type="gramStart"/>
      <w:r>
        <w:rPr>
          <w:rFonts w:asciiTheme="minorHAnsi" w:hAnsiTheme="minorHAnsi"/>
          <w:sz w:val="22"/>
        </w:rPr>
        <w:t>Nel quadro della</w:t>
      </w:r>
      <w:proofErr w:type="gramEnd"/>
      <w:r>
        <w:rPr>
          <w:rFonts w:asciiTheme="minorHAnsi" w:hAnsiTheme="minorHAnsi"/>
          <w:sz w:val="22"/>
        </w:rPr>
        <w:t xml:space="preserve"> digitalizzazione dei processi dei clienti e dell’azienda, Reka provvederà a introdurre Valuta Reka 3.0 verso la fine </w:t>
      </w:r>
      <w:r w:rsidR="002550E6">
        <w:rPr>
          <w:rFonts w:asciiTheme="minorHAnsi" w:hAnsiTheme="minorHAnsi"/>
          <w:sz w:val="22"/>
        </w:rPr>
        <w:t xml:space="preserve">dell’estate </w:t>
      </w:r>
      <w:r>
        <w:rPr>
          <w:rFonts w:asciiTheme="minorHAnsi" w:hAnsiTheme="minorHAnsi"/>
          <w:sz w:val="22"/>
        </w:rPr>
        <w:t xml:space="preserve">2017. “Rispetto ai due mondi paralleli della Valuta Reka fisica e delle carte di pagamento che esistono attualmente, Valuta Reka 3.0 comporterà un cambiamento di </w:t>
      </w:r>
      <w:r>
        <w:rPr>
          <w:rFonts w:asciiTheme="minorHAnsi" w:hAnsiTheme="minorHAnsi"/>
          <w:sz w:val="22"/>
        </w:rPr>
        <w:lastRenderedPageBreak/>
        <w:t xml:space="preserve">paradigma”, ha affermato Roger Seifritz, direttore di Reka. Tutte e tre le forme di Valuta Reka, ovvero Reka-Check, Reka Rail e Reka-Lunch, saranno ora disponibili senza contanti. Con Valuta Reka 3.0, i clienti non acquisteranno più un mezzo di pagamento fisico predefinito, bensì un credito. Tale importo viene quindi speso utilizzando la modalità di pagamento scelta, cioè in contanti (Reka-Check, Reka Rail), con carta di pagamento oppure online. La nuova Reka-Card diventerà, secondo il principio “one card fits all”, un supporto per tutte le forme di Valuta Reka (Reka-Check, Reka Rail e Reka-Lunch). In questo modo, il passo verso la digitalizzazione beneficia tutti gli utenti interessati. Gli acquirenti di Valuta Reka non solo avranno a disposizione una carta multifunzione, ma potranno anche decidere quale modalità di pagamento utilizzare (prerogativa fino ad oggi riservata al datore di lavoro). I punti vendita e i punti di accettazione trarranno vantaggio da processi più snelli e minori costi complessivi, in quanto l’utilizzo di Valuta Reka si muoverà velocemente nella direzione dei pagamenti senza contanti. </w:t>
      </w:r>
    </w:p>
    <w:p w14:paraId="7ED02823" w14:textId="241D7A6C" w:rsidR="00C87AA8" w:rsidRDefault="00C87AA8" w:rsidP="00E173CE">
      <w:pPr>
        <w:spacing w:after="120"/>
        <w:ind w:right="-28"/>
        <w:rPr>
          <w:rFonts w:asciiTheme="minorHAnsi" w:hAnsiTheme="minorHAnsi"/>
          <w:sz w:val="22"/>
        </w:rPr>
      </w:pPr>
      <w:r>
        <w:rPr>
          <w:rFonts w:asciiTheme="minorHAnsi" w:hAnsiTheme="minorHAnsi"/>
          <w:b/>
          <w:sz w:val="22"/>
        </w:rPr>
        <w:t>Passaggio di consegne</w:t>
      </w:r>
      <w:r>
        <w:rPr>
          <w:rFonts w:asciiTheme="minorHAnsi" w:hAnsiTheme="minorHAnsi"/>
          <w:b/>
          <w:sz w:val="22"/>
        </w:rPr>
        <w:br/>
      </w:r>
      <w:r>
        <w:rPr>
          <w:rFonts w:asciiTheme="minorHAnsi" w:hAnsiTheme="minorHAnsi"/>
          <w:sz w:val="22"/>
        </w:rPr>
        <w:t>In occasione dell’assemblea generale 2017, che segna anche la fine di un regolare mandato, il Dott. Peter Hasler si è dimesso dalla carica di presidente del Consiglio di amministrazione di Reka. Il Dott. Hasler ricopre questa funzione fin dal 2007 e ha guidato l’impresa con successo durante una fase contrassegnata da accelerato rinnovamento e inasprimento delle condizioni economiche. L’assemblea generale ha scelto come suo successore il Dott. Marcel Dietrich. Il Dott. Dietrich è un imprenditore che ha ricoperto più volte la carica di membro del Cda e, per un decennio, è stato alla guida d</w:t>
      </w:r>
      <w:r w:rsidR="00F20BD9">
        <w:rPr>
          <w:rFonts w:asciiTheme="minorHAnsi" w:hAnsiTheme="minorHAnsi"/>
          <w:sz w:val="22"/>
        </w:rPr>
        <w:t>i</w:t>
      </w:r>
      <w:bookmarkStart w:id="0" w:name="_GoBack"/>
      <w:bookmarkEnd w:id="0"/>
      <w:r>
        <w:rPr>
          <w:rFonts w:asciiTheme="minorHAnsi" w:hAnsiTheme="minorHAnsi"/>
          <w:sz w:val="22"/>
        </w:rPr>
        <w:t xml:space="preserve"> </w:t>
      </w:r>
      <w:proofErr w:type="spellStart"/>
      <w:r>
        <w:rPr>
          <w:rFonts w:asciiTheme="minorHAnsi" w:hAnsiTheme="minorHAnsi"/>
          <w:sz w:val="22"/>
        </w:rPr>
        <w:t>Globus</w:t>
      </w:r>
      <w:proofErr w:type="spellEnd"/>
      <w:r>
        <w:rPr>
          <w:rFonts w:asciiTheme="minorHAnsi" w:hAnsiTheme="minorHAnsi"/>
          <w:sz w:val="22"/>
        </w:rPr>
        <w:t xml:space="preserve"> </w:t>
      </w:r>
      <w:proofErr w:type="gramStart"/>
      <w:r>
        <w:rPr>
          <w:rFonts w:asciiTheme="minorHAnsi" w:hAnsiTheme="minorHAnsi"/>
          <w:sz w:val="22"/>
        </w:rPr>
        <w:t>in qualità di</w:t>
      </w:r>
      <w:proofErr w:type="gramEnd"/>
      <w:r>
        <w:rPr>
          <w:rFonts w:asciiTheme="minorHAnsi" w:hAnsiTheme="minorHAnsi"/>
          <w:sz w:val="22"/>
        </w:rPr>
        <w:t xml:space="preserve"> CEO.</w:t>
      </w:r>
    </w:p>
    <w:p w14:paraId="3F2F5DC5" w14:textId="77777777" w:rsidR="00E173CE" w:rsidRDefault="00E173CE" w:rsidP="00D86830">
      <w:pPr>
        <w:spacing w:after="0" w:line="240" w:lineRule="auto"/>
        <w:outlineLvl w:val="4"/>
        <w:rPr>
          <w:rFonts w:ascii="Calibri" w:hAnsi="Calibri" w:cs="Arial"/>
          <w:b/>
          <w:bCs/>
          <w:color w:val="000000"/>
          <w:sz w:val="22"/>
        </w:rPr>
      </w:pPr>
    </w:p>
    <w:p w14:paraId="172D2CD4" w14:textId="77777777" w:rsidR="005E30B3" w:rsidRPr="000103A5" w:rsidRDefault="005E30B3" w:rsidP="00D86830">
      <w:pPr>
        <w:spacing w:after="0" w:line="240" w:lineRule="auto"/>
        <w:outlineLvl w:val="4"/>
        <w:rPr>
          <w:rFonts w:ascii="Calibri" w:hAnsi="Calibri" w:cs="Arial"/>
          <w:b/>
          <w:bCs/>
          <w:color w:val="000000"/>
          <w:sz w:val="22"/>
        </w:rPr>
      </w:pPr>
      <w:r>
        <w:rPr>
          <w:rFonts w:ascii="Calibri" w:hAnsi="Calibri"/>
          <w:b/>
          <w:color w:val="000000"/>
          <w:sz w:val="22"/>
        </w:rPr>
        <w:t>Risultati del 2016 in sintesi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992"/>
        <w:gridCol w:w="992"/>
      </w:tblGrid>
      <w:tr w:rsidR="00CE78C9" w:rsidRPr="00014400" w14:paraId="3F85C673" w14:textId="77777777" w:rsidTr="00483B90">
        <w:tc>
          <w:tcPr>
            <w:tcW w:w="2127" w:type="dxa"/>
            <w:vAlign w:val="bottom"/>
          </w:tcPr>
          <w:p w14:paraId="3B1D87D3" w14:textId="77777777" w:rsidR="00CE78C9" w:rsidRPr="00014400" w:rsidRDefault="00CE78C9" w:rsidP="00014400">
            <w:pPr>
              <w:spacing w:after="0"/>
              <w:rPr>
                <w:rFonts w:ascii="Calibri" w:hAnsi="Calibri" w:cs="Arial"/>
                <w:color w:val="000000"/>
                <w:sz w:val="22"/>
              </w:rPr>
            </w:pPr>
            <w:r>
              <w:rPr>
                <w:rFonts w:ascii="Calibri" w:hAnsi="Calibri"/>
                <w:color w:val="000000"/>
                <w:sz w:val="22"/>
              </w:rPr>
              <w:t>in milioni di CHF</w:t>
            </w:r>
          </w:p>
        </w:tc>
        <w:tc>
          <w:tcPr>
            <w:tcW w:w="992" w:type="dxa"/>
          </w:tcPr>
          <w:p w14:paraId="76F07614" w14:textId="77777777" w:rsidR="00CE78C9" w:rsidRPr="00014400" w:rsidRDefault="00CE78C9" w:rsidP="00014400">
            <w:pPr>
              <w:spacing w:after="0"/>
              <w:jc w:val="right"/>
              <w:rPr>
                <w:rFonts w:ascii="Calibri" w:hAnsi="Calibri" w:cs="Arial"/>
                <w:b/>
                <w:color w:val="000000"/>
                <w:sz w:val="22"/>
              </w:rPr>
            </w:pPr>
            <w:r>
              <w:rPr>
                <w:rFonts w:ascii="Calibri" w:hAnsi="Calibri"/>
                <w:b/>
                <w:color w:val="000000"/>
                <w:sz w:val="22"/>
              </w:rPr>
              <w:t>2016</w:t>
            </w:r>
          </w:p>
        </w:tc>
        <w:tc>
          <w:tcPr>
            <w:tcW w:w="992" w:type="dxa"/>
          </w:tcPr>
          <w:p w14:paraId="01EEC199" w14:textId="77777777" w:rsidR="00CE78C9" w:rsidRPr="00014400" w:rsidRDefault="00CE78C9" w:rsidP="00014400">
            <w:pPr>
              <w:spacing w:after="0"/>
              <w:jc w:val="right"/>
              <w:rPr>
                <w:rFonts w:ascii="Calibri" w:hAnsi="Calibri" w:cs="Arial"/>
                <w:b/>
                <w:color w:val="000000"/>
                <w:sz w:val="22"/>
              </w:rPr>
            </w:pPr>
            <w:r>
              <w:rPr>
                <w:rFonts w:ascii="Calibri" w:hAnsi="Calibri"/>
                <w:b/>
                <w:color w:val="000000"/>
                <w:sz w:val="22"/>
              </w:rPr>
              <w:t>2015</w:t>
            </w:r>
          </w:p>
        </w:tc>
      </w:tr>
      <w:tr w:rsidR="00CE78C9" w:rsidRPr="00014400" w14:paraId="222BB7B5" w14:textId="77777777" w:rsidTr="00483B90">
        <w:tc>
          <w:tcPr>
            <w:tcW w:w="2127" w:type="dxa"/>
          </w:tcPr>
          <w:p w14:paraId="0A1B08A4" w14:textId="77777777" w:rsidR="00CE78C9" w:rsidRPr="00014400" w:rsidRDefault="00CE78C9" w:rsidP="00014400">
            <w:pPr>
              <w:spacing w:after="0"/>
              <w:rPr>
                <w:rFonts w:ascii="Calibri" w:hAnsi="Calibri" w:cs="Arial"/>
                <w:color w:val="000000"/>
                <w:sz w:val="22"/>
              </w:rPr>
            </w:pPr>
            <w:r>
              <w:rPr>
                <w:rFonts w:ascii="Calibri" w:hAnsi="Calibri"/>
                <w:color w:val="000000"/>
                <w:sz w:val="22"/>
              </w:rPr>
              <w:t>Ricavi</w:t>
            </w:r>
          </w:p>
        </w:tc>
        <w:tc>
          <w:tcPr>
            <w:tcW w:w="992" w:type="dxa"/>
          </w:tcPr>
          <w:p w14:paraId="4A274468" w14:textId="62FEB142" w:rsidR="00CE78C9" w:rsidRDefault="00CE78C9" w:rsidP="001E1747">
            <w:pPr>
              <w:spacing w:after="0"/>
              <w:jc w:val="right"/>
              <w:rPr>
                <w:rFonts w:ascii="Calibri" w:hAnsi="Calibri" w:cs="Arial"/>
                <w:color w:val="000000"/>
                <w:sz w:val="22"/>
              </w:rPr>
            </w:pPr>
            <w:r>
              <w:rPr>
                <w:rFonts w:ascii="Calibri" w:hAnsi="Calibri"/>
                <w:color w:val="000000"/>
                <w:sz w:val="22"/>
              </w:rPr>
              <w:t>72</w:t>
            </w:r>
            <w:r w:rsidR="001E1747">
              <w:rPr>
                <w:rFonts w:ascii="Calibri" w:hAnsi="Calibri"/>
                <w:color w:val="000000"/>
                <w:sz w:val="22"/>
              </w:rPr>
              <w:t>.</w:t>
            </w:r>
            <w:r>
              <w:rPr>
                <w:rFonts w:ascii="Calibri" w:hAnsi="Calibri"/>
                <w:color w:val="000000"/>
                <w:sz w:val="22"/>
              </w:rPr>
              <w:t>0</w:t>
            </w:r>
          </w:p>
        </w:tc>
        <w:tc>
          <w:tcPr>
            <w:tcW w:w="992" w:type="dxa"/>
          </w:tcPr>
          <w:p w14:paraId="5F7838E6" w14:textId="26DD51A3" w:rsidR="00CE78C9" w:rsidRPr="00014400" w:rsidRDefault="00CE78C9" w:rsidP="001E1747">
            <w:pPr>
              <w:spacing w:after="0"/>
              <w:jc w:val="right"/>
              <w:rPr>
                <w:rFonts w:ascii="Calibri" w:hAnsi="Calibri" w:cs="Arial"/>
                <w:color w:val="000000"/>
                <w:sz w:val="22"/>
              </w:rPr>
            </w:pPr>
            <w:r>
              <w:rPr>
                <w:rFonts w:ascii="Calibri" w:hAnsi="Calibri"/>
                <w:color w:val="000000"/>
                <w:sz w:val="22"/>
              </w:rPr>
              <w:t>69</w:t>
            </w:r>
            <w:r w:rsidR="001E1747">
              <w:rPr>
                <w:rFonts w:ascii="Calibri" w:hAnsi="Calibri"/>
                <w:color w:val="000000"/>
                <w:sz w:val="22"/>
              </w:rPr>
              <w:t>.</w:t>
            </w:r>
            <w:r>
              <w:rPr>
                <w:rFonts w:ascii="Calibri" w:hAnsi="Calibri"/>
                <w:color w:val="000000"/>
                <w:sz w:val="22"/>
              </w:rPr>
              <w:t>8</w:t>
            </w:r>
          </w:p>
        </w:tc>
      </w:tr>
      <w:tr w:rsidR="00CE78C9" w:rsidRPr="00014400" w14:paraId="604203A0" w14:textId="77777777" w:rsidTr="00483B90">
        <w:tc>
          <w:tcPr>
            <w:tcW w:w="2127" w:type="dxa"/>
          </w:tcPr>
          <w:p w14:paraId="023360AB" w14:textId="77777777" w:rsidR="00CE78C9" w:rsidRPr="00014400" w:rsidRDefault="00CE78C9" w:rsidP="00014400">
            <w:pPr>
              <w:spacing w:after="0"/>
              <w:rPr>
                <w:rFonts w:ascii="Calibri" w:hAnsi="Calibri" w:cs="Arial"/>
                <w:color w:val="000000"/>
                <w:sz w:val="22"/>
              </w:rPr>
            </w:pPr>
            <w:r>
              <w:rPr>
                <w:rFonts w:ascii="Calibri" w:hAnsi="Calibri"/>
                <w:color w:val="000000"/>
                <w:sz w:val="22"/>
              </w:rPr>
              <w:t>Utile lordo</w:t>
            </w:r>
          </w:p>
        </w:tc>
        <w:tc>
          <w:tcPr>
            <w:tcW w:w="992" w:type="dxa"/>
          </w:tcPr>
          <w:p w14:paraId="08101F4C" w14:textId="55D8243A" w:rsidR="00CE78C9" w:rsidRDefault="00CE78C9" w:rsidP="001E1747">
            <w:pPr>
              <w:spacing w:after="0"/>
              <w:jc w:val="right"/>
              <w:rPr>
                <w:rFonts w:ascii="Calibri" w:hAnsi="Calibri" w:cs="Arial"/>
                <w:color w:val="000000"/>
                <w:sz w:val="22"/>
              </w:rPr>
            </w:pPr>
            <w:r>
              <w:rPr>
                <w:rFonts w:ascii="Calibri" w:hAnsi="Calibri"/>
                <w:color w:val="000000"/>
                <w:sz w:val="22"/>
              </w:rPr>
              <w:t>40</w:t>
            </w:r>
            <w:r w:rsidR="001E1747">
              <w:rPr>
                <w:rFonts w:ascii="Calibri" w:hAnsi="Calibri"/>
                <w:color w:val="000000"/>
                <w:sz w:val="22"/>
              </w:rPr>
              <w:t>.</w:t>
            </w:r>
            <w:r>
              <w:rPr>
                <w:rFonts w:ascii="Calibri" w:hAnsi="Calibri"/>
                <w:color w:val="000000"/>
                <w:sz w:val="22"/>
              </w:rPr>
              <w:t>3</w:t>
            </w:r>
          </w:p>
        </w:tc>
        <w:tc>
          <w:tcPr>
            <w:tcW w:w="992" w:type="dxa"/>
          </w:tcPr>
          <w:p w14:paraId="6D8D494D" w14:textId="78BEAE36" w:rsidR="00CE78C9" w:rsidRPr="00014400" w:rsidRDefault="00CE78C9" w:rsidP="001E1747">
            <w:pPr>
              <w:spacing w:after="0"/>
              <w:jc w:val="right"/>
              <w:rPr>
                <w:rFonts w:ascii="Calibri" w:hAnsi="Calibri" w:cs="Arial"/>
                <w:color w:val="000000"/>
                <w:sz w:val="22"/>
              </w:rPr>
            </w:pPr>
            <w:r>
              <w:rPr>
                <w:rFonts w:ascii="Calibri" w:hAnsi="Calibri"/>
                <w:color w:val="000000"/>
                <w:sz w:val="22"/>
              </w:rPr>
              <w:t>38</w:t>
            </w:r>
            <w:r w:rsidR="001E1747">
              <w:rPr>
                <w:rFonts w:ascii="Calibri" w:hAnsi="Calibri"/>
                <w:color w:val="000000"/>
                <w:sz w:val="22"/>
              </w:rPr>
              <w:t>.</w:t>
            </w:r>
            <w:r>
              <w:rPr>
                <w:rFonts w:ascii="Calibri" w:hAnsi="Calibri"/>
                <w:color w:val="000000"/>
                <w:sz w:val="22"/>
              </w:rPr>
              <w:t>5</w:t>
            </w:r>
          </w:p>
        </w:tc>
      </w:tr>
      <w:tr w:rsidR="00CE78C9" w:rsidRPr="00014400" w14:paraId="32F7D5E4" w14:textId="77777777" w:rsidTr="00483B90">
        <w:tc>
          <w:tcPr>
            <w:tcW w:w="2127" w:type="dxa"/>
          </w:tcPr>
          <w:p w14:paraId="5F91FAFF" w14:textId="77777777" w:rsidR="00CE78C9" w:rsidRPr="00014400" w:rsidRDefault="00CE78C9" w:rsidP="00014400">
            <w:pPr>
              <w:spacing w:after="0"/>
              <w:rPr>
                <w:rFonts w:ascii="Calibri" w:hAnsi="Calibri" w:cs="Arial"/>
                <w:color w:val="000000"/>
                <w:sz w:val="22"/>
              </w:rPr>
            </w:pPr>
            <w:r>
              <w:rPr>
                <w:rFonts w:ascii="Calibri" w:hAnsi="Calibri"/>
                <w:color w:val="000000"/>
                <w:sz w:val="22"/>
              </w:rPr>
              <w:t>Risultato d’esercizio     </w:t>
            </w:r>
          </w:p>
        </w:tc>
        <w:tc>
          <w:tcPr>
            <w:tcW w:w="992" w:type="dxa"/>
          </w:tcPr>
          <w:p w14:paraId="7E56FBB9" w14:textId="78AE8B91" w:rsidR="00CE78C9" w:rsidRDefault="002550E6" w:rsidP="001E1747">
            <w:pPr>
              <w:spacing w:after="0"/>
              <w:jc w:val="right"/>
              <w:rPr>
                <w:rFonts w:ascii="Calibri" w:hAnsi="Calibri" w:cs="Arial"/>
                <w:color w:val="000000"/>
                <w:sz w:val="22"/>
              </w:rPr>
            </w:pPr>
            <w:r>
              <w:rPr>
                <w:rFonts w:ascii="Calibri" w:hAnsi="Calibri"/>
                <w:color w:val="000000"/>
                <w:sz w:val="22"/>
              </w:rPr>
              <w:t>–</w:t>
            </w:r>
            <w:r w:rsidR="00CE78C9">
              <w:rPr>
                <w:rFonts w:ascii="Calibri" w:hAnsi="Calibri"/>
                <w:color w:val="000000"/>
                <w:sz w:val="22"/>
              </w:rPr>
              <w:t>3</w:t>
            </w:r>
            <w:r w:rsidR="001E1747">
              <w:rPr>
                <w:rFonts w:ascii="Calibri" w:hAnsi="Calibri"/>
                <w:color w:val="000000"/>
                <w:sz w:val="22"/>
              </w:rPr>
              <w:t>.</w:t>
            </w:r>
            <w:proofErr w:type="gramStart"/>
            <w:r w:rsidR="00CE78C9">
              <w:rPr>
                <w:rFonts w:ascii="Calibri" w:hAnsi="Calibri"/>
                <w:color w:val="000000"/>
                <w:sz w:val="22"/>
              </w:rPr>
              <w:t>5</w:t>
            </w:r>
            <w:proofErr w:type="gramEnd"/>
          </w:p>
        </w:tc>
        <w:tc>
          <w:tcPr>
            <w:tcW w:w="992" w:type="dxa"/>
          </w:tcPr>
          <w:p w14:paraId="6A03E868" w14:textId="72908D35" w:rsidR="00CE78C9" w:rsidRPr="00014400" w:rsidRDefault="002550E6" w:rsidP="001E1747">
            <w:pPr>
              <w:spacing w:after="0"/>
              <w:jc w:val="right"/>
              <w:rPr>
                <w:rFonts w:ascii="Calibri" w:hAnsi="Calibri" w:cs="Arial"/>
                <w:color w:val="000000"/>
                <w:sz w:val="22"/>
              </w:rPr>
            </w:pPr>
            <w:r>
              <w:rPr>
                <w:rFonts w:ascii="Calibri" w:hAnsi="Calibri"/>
                <w:color w:val="000000"/>
                <w:sz w:val="22"/>
              </w:rPr>
              <w:t>–</w:t>
            </w:r>
            <w:r w:rsidR="00CE78C9">
              <w:rPr>
                <w:rFonts w:ascii="Calibri" w:hAnsi="Calibri"/>
                <w:color w:val="000000"/>
                <w:sz w:val="22"/>
              </w:rPr>
              <w:t>5</w:t>
            </w:r>
            <w:r w:rsidR="001E1747">
              <w:rPr>
                <w:rFonts w:ascii="Calibri" w:hAnsi="Calibri"/>
                <w:color w:val="000000"/>
                <w:sz w:val="22"/>
              </w:rPr>
              <w:t>.</w:t>
            </w:r>
            <w:proofErr w:type="gramStart"/>
            <w:r w:rsidR="00CE78C9">
              <w:rPr>
                <w:rFonts w:ascii="Calibri" w:hAnsi="Calibri"/>
                <w:color w:val="000000"/>
                <w:sz w:val="22"/>
              </w:rPr>
              <w:t>2</w:t>
            </w:r>
            <w:proofErr w:type="gramEnd"/>
          </w:p>
        </w:tc>
      </w:tr>
      <w:tr w:rsidR="00CE78C9" w:rsidRPr="00014400" w14:paraId="08A61196" w14:textId="77777777" w:rsidTr="00483B90">
        <w:tc>
          <w:tcPr>
            <w:tcW w:w="2127" w:type="dxa"/>
          </w:tcPr>
          <w:p w14:paraId="68D56C2F" w14:textId="77777777" w:rsidR="00CE78C9" w:rsidRPr="00014400" w:rsidRDefault="00CE78C9" w:rsidP="00014400">
            <w:pPr>
              <w:spacing w:after="0"/>
              <w:rPr>
                <w:rFonts w:ascii="Calibri" w:hAnsi="Calibri" w:cs="Arial"/>
                <w:color w:val="000000"/>
                <w:sz w:val="22"/>
              </w:rPr>
            </w:pPr>
            <w:r>
              <w:rPr>
                <w:rFonts w:ascii="Calibri" w:hAnsi="Calibri"/>
                <w:color w:val="000000"/>
                <w:sz w:val="22"/>
              </w:rPr>
              <w:t>Risultato annuale</w:t>
            </w:r>
          </w:p>
        </w:tc>
        <w:tc>
          <w:tcPr>
            <w:tcW w:w="992" w:type="dxa"/>
          </w:tcPr>
          <w:p w14:paraId="5EA4378A" w14:textId="6A5FCFF6" w:rsidR="00CE78C9" w:rsidRDefault="00CE78C9" w:rsidP="001E1747">
            <w:pPr>
              <w:spacing w:after="0"/>
              <w:jc w:val="right"/>
              <w:rPr>
                <w:rFonts w:ascii="Calibri" w:hAnsi="Calibri" w:cs="Arial"/>
                <w:color w:val="000000"/>
                <w:sz w:val="22"/>
              </w:rPr>
            </w:pPr>
            <w:r>
              <w:rPr>
                <w:rFonts w:ascii="Calibri" w:hAnsi="Calibri"/>
                <w:color w:val="000000"/>
                <w:sz w:val="22"/>
              </w:rPr>
              <w:t>0</w:t>
            </w:r>
            <w:r w:rsidR="001E1747">
              <w:rPr>
                <w:rFonts w:ascii="Calibri" w:hAnsi="Calibri"/>
                <w:color w:val="000000"/>
                <w:sz w:val="22"/>
              </w:rPr>
              <w:t>.</w:t>
            </w:r>
            <w:r>
              <w:rPr>
                <w:rFonts w:ascii="Calibri" w:hAnsi="Calibri"/>
                <w:color w:val="000000"/>
                <w:sz w:val="22"/>
              </w:rPr>
              <w:t>1</w:t>
            </w:r>
          </w:p>
        </w:tc>
        <w:tc>
          <w:tcPr>
            <w:tcW w:w="992" w:type="dxa"/>
          </w:tcPr>
          <w:p w14:paraId="5CF39B9F" w14:textId="11CA88DD" w:rsidR="00CE78C9" w:rsidRPr="00014400" w:rsidRDefault="00CE78C9" w:rsidP="001E1747">
            <w:pPr>
              <w:spacing w:after="0"/>
              <w:jc w:val="right"/>
              <w:rPr>
                <w:rFonts w:ascii="Calibri" w:hAnsi="Calibri" w:cs="Arial"/>
                <w:color w:val="000000"/>
                <w:sz w:val="22"/>
              </w:rPr>
            </w:pPr>
            <w:r>
              <w:rPr>
                <w:rFonts w:ascii="Calibri" w:hAnsi="Calibri"/>
                <w:color w:val="000000"/>
                <w:sz w:val="22"/>
              </w:rPr>
              <w:t>0</w:t>
            </w:r>
            <w:r w:rsidR="001E1747">
              <w:rPr>
                <w:rFonts w:ascii="Calibri" w:hAnsi="Calibri"/>
                <w:color w:val="000000"/>
                <w:sz w:val="22"/>
              </w:rPr>
              <w:t>.</w:t>
            </w:r>
            <w:r>
              <w:rPr>
                <w:rFonts w:ascii="Calibri" w:hAnsi="Calibri"/>
                <w:color w:val="000000"/>
                <w:sz w:val="22"/>
              </w:rPr>
              <w:t>1</w:t>
            </w:r>
          </w:p>
        </w:tc>
      </w:tr>
    </w:tbl>
    <w:p w14:paraId="65FD4D67" w14:textId="77777777" w:rsidR="005E30B3" w:rsidRDefault="005E30B3" w:rsidP="00D86830">
      <w:pPr>
        <w:spacing w:after="0" w:line="240" w:lineRule="auto"/>
        <w:rPr>
          <w:rFonts w:ascii="Calibri" w:hAnsi="Calibri" w:cs="Arial"/>
          <w:b/>
          <w:sz w:val="22"/>
        </w:rPr>
      </w:pPr>
    </w:p>
    <w:p w14:paraId="418F652C" w14:textId="77777777" w:rsidR="00CE78C9" w:rsidRPr="000103A5" w:rsidRDefault="00CE78C9" w:rsidP="00D86830">
      <w:pPr>
        <w:spacing w:after="0" w:line="240" w:lineRule="auto"/>
        <w:rPr>
          <w:rFonts w:ascii="Calibri" w:hAnsi="Calibri" w:cs="Arial"/>
          <w:b/>
          <w:sz w:val="22"/>
        </w:rPr>
      </w:pPr>
    </w:p>
    <w:p w14:paraId="08A50DBF" w14:textId="13BF2F3E" w:rsidR="005E30B3" w:rsidRDefault="005E30B3" w:rsidP="00D86830">
      <w:pPr>
        <w:spacing w:after="0" w:line="240" w:lineRule="auto"/>
        <w:rPr>
          <w:rFonts w:ascii="Calibri" w:hAnsi="Calibri" w:cs="Arial"/>
          <w:sz w:val="22"/>
        </w:rPr>
      </w:pPr>
      <w:r>
        <w:rPr>
          <w:rFonts w:ascii="Calibri" w:hAnsi="Calibri"/>
          <w:b/>
          <w:sz w:val="22"/>
        </w:rPr>
        <w:t xml:space="preserve">Contatto per </w:t>
      </w:r>
      <w:proofErr w:type="gramStart"/>
      <w:r>
        <w:rPr>
          <w:rFonts w:ascii="Calibri" w:hAnsi="Calibri"/>
          <w:b/>
          <w:sz w:val="22"/>
        </w:rPr>
        <w:t>ulteriori</w:t>
      </w:r>
      <w:proofErr w:type="gramEnd"/>
      <w:r>
        <w:rPr>
          <w:rFonts w:ascii="Calibri" w:hAnsi="Calibri"/>
          <w:b/>
          <w:sz w:val="22"/>
        </w:rPr>
        <w:t xml:space="preserve"> domande</w:t>
      </w:r>
      <w:r>
        <w:rPr>
          <w:rFonts w:ascii="Calibri" w:hAnsi="Calibri" w:cs="Arial"/>
          <w:b/>
          <w:sz w:val="22"/>
        </w:rPr>
        <w:br/>
      </w:r>
      <w:r>
        <w:rPr>
          <w:rFonts w:ascii="Calibri" w:hAnsi="Calibri"/>
          <w:sz w:val="22"/>
        </w:rPr>
        <w:t>Roger S</w:t>
      </w:r>
      <w:r w:rsidR="001E1747">
        <w:rPr>
          <w:rFonts w:ascii="Calibri" w:hAnsi="Calibri"/>
          <w:sz w:val="22"/>
        </w:rPr>
        <w:t>eifritz</w:t>
      </w:r>
      <w:r>
        <w:rPr>
          <w:rFonts w:ascii="Calibri" w:hAnsi="Calibri"/>
          <w:sz w:val="22"/>
        </w:rPr>
        <w:t>, direttore, tel. 031 329 67 67</w:t>
      </w:r>
    </w:p>
    <w:p w14:paraId="422A1282" w14:textId="77777777" w:rsidR="001E1747" w:rsidRDefault="001E1747" w:rsidP="00226498">
      <w:pPr>
        <w:autoSpaceDE w:val="0"/>
        <w:autoSpaceDN w:val="0"/>
        <w:adjustRightInd w:val="0"/>
        <w:spacing w:after="0" w:line="240" w:lineRule="auto"/>
        <w:rPr>
          <w:rFonts w:ascii="Calibri" w:hAnsi="Calibri"/>
          <w:sz w:val="22"/>
        </w:rPr>
      </w:pPr>
    </w:p>
    <w:p w14:paraId="3F0D1561" w14:textId="77777777" w:rsidR="005E30B3" w:rsidRDefault="005E30B3" w:rsidP="00226498">
      <w:pPr>
        <w:autoSpaceDE w:val="0"/>
        <w:autoSpaceDN w:val="0"/>
        <w:adjustRightInd w:val="0"/>
        <w:spacing w:after="0" w:line="240" w:lineRule="auto"/>
        <w:rPr>
          <w:rFonts w:ascii="Calibri" w:hAnsi="Calibri"/>
          <w:sz w:val="22"/>
        </w:rPr>
      </w:pPr>
      <w:r>
        <w:rPr>
          <w:rFonts w:ascii="Calibri" w:hAnsi="Calibri"/>
          <w:sz w:val="22"/>
        </w:rPr>
        <w:t xml:space="preserve">Download comunicati stampa e materiale fotografico: </w:t>
      </w:r>
      <w:proofErr w:type="gramStart"/>
      <w:r>
        <w:rPr>
          <w:rFonts w:ascii="Calibri" w:hAnsi="Calibri"/>
          <w:sz w:val="22"/>
        </w:rPr>
        <w:t>reka.ch</w:t>
      </w:r>
      <w:proofErr w:type="gramEnd"/>
      <w:r>
        <w:rPr>
          <w:rFonts w:ascii="Calibri" w:hAnsi="Calibri"/>
          <w:sz w:val="22"/>
        </w:rPr>
        <w:t>/</w:t>
      </w:r>
      <w:r w:rsidR="000D04F0">
        <w:rPr>
          <w:rFonts w:ascii="Calibri" w:hAnsi="Calibri"/>
          <w:sz w:val="22"/>
        </w:rPr>
        <w:t>comunicati</w:t>
      </w:r>
    </w:p>
    <w:p w14:paraId="6314CFEE" w14:textId="46600A52" w:rsidR="001E1747" w:rsidRPr="00226498" w:rsidRDefault="001E1747" w:rsidP="00226498">
      <w:pPr>
        <w:autoSpaceDE w:val="0"/>
        <w:autoSpaceDN w:val="0"/>
        <w:adjustRightInd w:val="0"/>
        <w:spacing w:after="0" w:line="240" w:lineRule="auto"/>
        <w:rPr>
          <w:rFonts w:ascii="Calibri" w:hAnsi="Calibri" w:cs="Calibri"/>
          <w:bCs/>
          <w:sz w:val="22"/>
        </w:rPr>
      </w:pPr>
      <w:r>
        <w:rPr>
          <w:rFonts w:ascii="Calibri" w:hAnsi="Calibri"/>
          <w:sz w:val="22"/>
        </w:rPr>
        <w:t>Download rapport</w:t>
      </w:r>
      <w:r w:rsidR="004E733B">
        <w:rPr>
          <w:rFonts w:ascii="Calibri" w:hAnsi="Calibri"/>
          <w:sz w:val="22"/>
        </w:rPr>
        <w:t>i</w:t>
      </w:r>
      <w:r w:rsidR="00395B1B">
        <w:rPr>
          <w:rFonts w:ascii="Calibri" w:hAnsi="Calibri"/>
          <w:sz w:val="22"/>
        </w:rPr>
        <w:t xml:space="preserve"> di gestione 2016 </w:t>
      </w:r>
      <w:r>
        <w:rPr>
          <w:rFonts w:ascii="Calibri" w:hAnsi="Calibri"/>
          <w:sz w:val="22"/>
        </w:rPr>
        <w:t>in tedesco e francese: reka.ch/</w:t>
      </w:r>
      <w:proofErr w:type="spellStart"/>
      <w:proofErr w:type="gramStart"/>
      <w:r w:rsidR="00395B1B">
        <w:rPr>
          <w:rFonts w:ascii="Calibri" w:hAnsi="Calibri"/>
          <w:sz w:val="22"/>
        </w:rPr>
        <w:t>geschaeftsbericht</w:t>
      </w:r>
      <w:proofErr w:type="spellEnd"/>
      <w:proofErr w:type="gramEnd"/>
      <w:r>
        <w:rPr>
          <w:rFonts w:ascii="Calibri" w:hAnsi="Calibri"/>
          <w:sz w:val="22"/>
        </w:rPr>
        <w:t xml:space="preserve"> </w:t>
      </w:r>
    </w:p>
    <w:sectPr w:rsidR="001E1747" w:rsidRPr="00226498" w:rsidSect="00226498">
      <w:headerReference w:type="default" r:id="rId9"/>
      <w:footerReference w:type="default" r:id="rId10"/>
      <w:headerReference w:type="first" r:id="rId11"/>
      <w:footerReference w:type="first" r:id="rId12"/>
      <w:pgSz w:w="11906" w:h="16838" w:code="9"/>
      <w:pgMar w:top="1560" w:right="1134" w:bottom="567" w:left="1304" w:header="709" w:footer="1276" w:gutter="0"/>
      <w:paperSrc w:first="7" w:other="7"/>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305B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E9A70" w14:textId="77777777" w:rsidR="00BE7A5C" w:rsidRDefault="00BE7A5C" w:rsidP="003439F1">
      <w:r>
        <w:separator/>
      </w:r>
    </w:p>
  </w:endnote>
  <w:endnote w:type="continuationSeparator" w:id="0">
    <w:p w14:paraId="21C4DE60" w14:textId="77777777" w:rsidR="00BE7A5C" w:rsidRDefault="00BE7A5C" w:rsidP="0034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63896" w14:textId="77777777" w:rsidR="005E30B3" w:rsidRDefault="00DE6D5B">
    <w:pPr>
      <w:pStyle w:val="Fuzeile"/>
    </w:pPr>
    <w:r>
      <w:rPr>
        <w:noProof/>
        <w:lang w:val="de-CH" w:eastAsia="de-CH" w:bidi="ar-SA"/>
      </w:rPr>
      <w:drawing>
        <wp:anchor distT="0" distB="0" distL="114300" distR="114300" simplePos="0" relativeHeight="251658240" behindDoc="0" locked="0" layoutInCell="1" allowOverlap="1" wp14:anchorId="6C97DF73" wp14:editId="1964298E">
          <wp:simplePos x="0" y="0"/>
          <wp:positionH relativeFrom="column">
            <wp:posOffset>-528955</wp:posOffset>
          </wp:positionH>
          <wp:positionV relativeFrom="paragraph">
            <wp:posOffset>615315</wp:posOffset>
          </wp:positionV>
          <wp:extent cx="7225030" cy="154940"/>
          <wp:effectExtent l="0" t="0" r="0" b="0"/>
          <wp:wrapNone/>
          <wp:docPr id="2" name="Bild 2" descr="Balken_rgb_fu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ken_rgb_fuer_A4"/>
                  <pic:cNvPicPr>
                    <a:picLocks noChangeAspect="1" noChangeArrowheads="1"/>
                  </pic:cNvPicPr>
                </pic:nvPicPr>
                <pic:blipFill>
                  <a:blip r:embed="rId1">
                    <a:lum bright="-10000"/>
                    <a:extLst>
                      <a:ext uri="{28A0092B-C50C-407E-A947-70E740481C1C}">
                        <a14:useLocalDpi xmlns:a14="http://schemas.microsoft.com/office/drawing/2010/main" val="0"/>
                      </a:ext>
                    </a:extLst>
                  </a:blip>
                  <a:srcRect/>
                  <a:stretch>
                    <a:fillRect/>
                  </a:stretch>
                </pic:blipFill>
                <pic:spPr bwMode="auto">
                  <a:xfrm>
                    <a:off x="0" y="0"/>
                    <a:ext cx="7225030" cy="1549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F5CC8" w14:textId="77777777" w:rsidR="005E30B3" w:rsidRDefault="00DE6D5B" w:rsidP="00C77A30">
    <w:pPr>
      <w:pStyle w:val="Fuzeile"/>
      <w:tabs>
        <w:tab w:val="clear" w:pos="9072"/>
      </w:tabs>
    </w:pPr>
    <w:r>
      <w:rPr>
        <w:noProof/>
        <w:lang w:val="de-CH" w:eastAsia="de-CH" w:bidi="ar-SA"/>
      </w:rPr>
      <w:drawing>
        <wp:anchor distT="0" distB="0" distL="114300" distR="114300" simplePos="0" relativeHeight="251657216" behindDoc="0" locked="0" layoutInCell="1" allowOverlap="1" wp14:anchorId="123C5E68" wp14:editId="30FE6B5D">
          <wp:simplePos x="0" y="0"/>
          <wp:positionH relativeFrom="column">
            <wp:posOffset>-478790</wp:posOffset>
          </wp:positionH>
          <wp:positionV relativeFrom="paragraph">
            <wp:posOffset>629285</wp:posOffset>
          </wp:positionV>
          <wp:extent cx="6877050" cy="152400"/>
          <wp:effectExtent l="0" t="0" r="0" b="0"/>
          <wp:wrapNone/>
          <wp:docPr id="4" name="Bild 3" descr="Balken_rgb_fu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alken_rgb_fuer_A4"/>
                  <pic:cNvPicPr>
                    <a:picLocks noChangeAspect="1" noChangeArrowheads="1"/>
                  </pic:cNvPicPr>
                </pic:nvPicPr>
                <pic:blipFill>
                  <a:blip r:embed="rId1">
                    <a:lum bright="-10000"/>
                    <a:extLst>
                      <a:ext uri="{28A0092B-C50C-407E-A947-70E740481C1C}">
                        <a14:useLocalDpi xmlns:a14="http://schemas.microsoft.com/office/drawing/2010/main" val="0"/>
                      </a:ext>
                    </a:extLst>
                  </a:blip>
                  <a:srcRect/>
                  <a:stretch>
                    <a:fillRect/>
                  </a:stretch>
                </pic:blipFill>
                <pic:spPr bwMode="auto">
                  <a:xfrm>
                    <a:off x="0" y="0"/>
                    <a:ext cx="6877050" cy="152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27B40" w14:textId="77777777" w:rsidR="00BE7A5C" w:rsidRDefault="00BE7A5C" w:rsidP="003439F1">
      <w:r>
        <w:separator/>
      </w:r>
    </w:p>
  </w:footnote>
  <w:footnote w:type="continuationSeparator" w:id="0">
    <w:p w14:paraId="0D83D4B3" w14:textId="77777777" w:rsidR="00BE7A5C" w:rsidRDefault="00BE7A5C" w:rsidP="00343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C7F7" w14:textId="77777777" w:rsidR="005E30B3" w:rsidRDefault="00DE6D5B" w:rsidP="00E23559">
    <w:pPr>
      <w:pStyle w:val="Kopfzeile"/>
      <w:tabs>
        <w:tab w:val="clear" w:pos="4536"/>
        <w:tab w:val="clear" w:pos="9072"/>
      </w:tabs>
      <w:jc w:val="right"/>
    </w:pPr>
    <w:r>
      <w:rPr>
        <w:noProof/>
        <w:lang w:val="de-CH" w:eastAsia="de-CH" w:bidi="ar-SA"/>
      </w:rPr>
      <w:drawing>
        <wp:anchor distT="0" distB="0" distL="114300" distR="114300" simplePos="0" relativeHeight="251659264" behindDoc="0" locked="0" layoutInCell="1" allowOverlap="1" wp14:anchorId="2E2586FD" wp14:editId="70B86216">
          <wp:simplePos x="0" y="0"/>
          <wp:positionH relativeFrom="column">
            <wp:posOffset>4806950</wp:posOffset>
          </wp:positionH>
          <wp:positionV relativeFrom="paragraph">
            <wp:posOffset>-133350</wp:posOffset>
          </wp:positionV>
          <wp:extent cx="1440815" cy="307340"/>
          <wp:effectExtent l="0" t="0" r="6985" b="0"/>
          <wp:wrapNone/>
          <wp:docPr id="1" name="Bild 1" descr="Logo_rgb_fu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rgb_fuer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3073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B79C" w14:textId="77777777" w:rsidR="005E30B3" w:rsidRDefault="00DE6D5B" w:rsidP="00E23559">
    <w:pPr>
      <w:pStyle w:val="Kopfzeile"/>
    </w:pPr>
    <w:r>
      <w:rPr>
        <w:noProof/>
        <w:lang w:val="de-CH" w:eastAsia="de-CH" w:bidi="ar-SA"/>
      </w:rPr>
      <w:drawing>
        <wp:anchor distT="0" distB="0" distL="114300" distR="114300" simplePos="0" relativeHeight="251656192" behindDoc="0" locked="0" layoutInCell="1" allowOverlap="1" wp14:anchorId="329AD9EB" wp14:editId="79A6E216">
          <wp:simplePos x="0" y="0"/>
          <wp:positionH relativeFrom="column">
            <wp:posOffset>4808220</wp:posOffset>
          </wp:positionH>
          <wp:positionV relativeFrom="paragraph">
            <wp:posOffset>-148590</wp:posOffset>
          </wp:positionV>
          <wp:extent cx="1440815" cy="307340"/>
          <wp:effectExtent l="0" t="0" r="6985" b="0"/>
          <wp:wrapNone/>
          <wp:docPr id="3" name="Bild 4" descr="Logo_rgb_fu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rgb_fuer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3073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C7062"/>
    <w:multiLevelType w:val="hybridMultilevel"/>
    <w:tmpl w:val="412ED6F4"/>
    <w:lvl w:ilvl="0" w:tplc="08070001">
      <w:start w:val="1"/>
      <w:numFmt w:val="bullet"/>
      <w:lvlText w:val=""/>
      <w:lvlJc w:val="left"/>
      <w:pPr>
        <w:tabs>
          <w:tab w:val="num" w:pos="2700"/>
        </w:tabs>
        <w:ind w:left="2700" w:hanging="360"/>
      </w:pPr>
      <w:rPr>
        <w:rFonts w:ascii="Symbol" w:hAnsi="Symbol" w:hint="default"/>
      </w:rPr>
    </w:lvl>
    <w:lvl w:ilvl="1" w:tplc="08070003" w:tentative="1">
      <w:start w:val="1"/>
      <w:numFmt w:val="bullet"/>
      <w:lvlText w:val="o"/>
      <w:lvlJc w:val="left"/>
      <w:pPr>
        <w:tabs>
          <w:tab w:val="num" w:pos="3420"/>
        </w:tabs>
        <w:ind w:left="3420" w:hanging="360"/>
      </w:pPr>
      <w:rPr>
        <w:rFonts w:ascii="Courier New" w:hAnsi="Courier New" w:hint="default"/>
      </w:rPr>
    </w:lvl>
    <w:lvl w:ilvl="2" w:tplc="08070005" w:tentative="1">
      <w:start w:val="1"/>
      <w:numFmt w:val="bullet"/>
      <w:lvlText w:val=""/>
      <w:lvlJc w:val="left"/>
      <w:pPr>
        <w:tabs>
          <w:tab w:val="num" w:pos="4140"/>
        </w:tabs>
        <w:ind w:left="4140" w:hanging="360"/>
      </w:pPr>
      <w:rPr>
        <w:rFonts w:ascii="Wingdings" w:hAnsi="Wingdings" w:hint="default"/>
      </w:rPr>
    </w:lvl>
    <w:lvl w:ilvl="3" w:tplc="08070001" w:tentative="1">
      <w:start w:val="1"/>
      <w:numFmt w:val="bullet"/>
      <w:lvlText w:val=""/>
      <w:lvlJc w:val="left"/>
      <w:pPr>
        <w:tabs>
          <w:tab w:val="num" w:pos="4860"/>
        </w:tabs>
        <w:ind w:left="4860" w:hanging="360"/>
      </w:pPr>
      <w:rPr>
        <w:rFonts w:ascii="Symbol" w:hAnsi="Symbol" w:hint="default"/>
      </w:rPr>
    </w:lvl>
    <w:lvl w:ilvl="4" w:tplc="08070003" w:tentative="1">
      <w:start w:val="1"/>
      <w:numFmt w:val="bullet"/>
      <w:lvlText w:val="o"/>
      <w:lvlJc w:val="left"/>
      <w:pPr>
        <w:tabs>
          <w:tab w:val="num" w:pos="5580"/>
        </w:tabs>
        <w:ind w:left="5580" w:hanging="360"/>
      </w:pPr>
      <w:rPr>
        <w:rFonts w:ascii="Courier New" w:hAnsi="Courier New" w:hint="default"/>
      </w:rPr>
    </w:lvl>
    <w:lvl w:ilvl="5" w:tplc="08070005" w:tentative="1">
      <w:start w:val="1"/>
      <w:numFmt w:val="bullet"/>
      <w:lvlText w:val=""/>
      <w:lvlJc w:val="left"/>
      <w:pPr>
        <w:tabs>
          <w:tab w:val="num" w:pos="6300"/>
        </w:tabs>
        <w:ind w:left="6300" w:hanging="360"/>
      </w:pPr>
      <w:rPr>
        <w:rFonts w:ascii="Wingdings" w:hAnsi="Wingdings" w:hint="default"/>
      </w:rPr>
    </w:lvl>
    <w:lvl w:ilvl="6" w:tplc="08070001" w:tentative="1">
      <w:start w:val="1"/>
      <w:numFmt w:val="bullet"/>
      <w:lvlText w:val=""/>
      <w:lvlJc w:val="left"/>
      <w:pPr>
        <w:tabs>
          <w:tab w:val="num" w:pos="7020"/>
        </w:tabs>
        <w:ind w:left="7020" w:hanging="360"/>
      </w:pPr>
      <w:rPr>
        <w:rFonts w:ascii="Symbol" w:hAnsi="Symbol" w:hint="default"/>
      </w:rPr>
    </w:lvl>
    <w:lvl w:ilvl="7" w:tplc="08070003" w:tentative="1">
      <w:start w:val="1"/>
      <w:numFmt w:val="bullet"/>
      <w:lvlText w:val="o"/>
      <w:lvlJc w:val="left"/>
      <w:pPr>
        <w:tabs>
          <w:tab w:val="num" w:pos="7740"/>
        </w:tabs>
        <w:ind w:left="7740" w:hanging="360"/>
      </w:pPr>
      <w:rPr>
        <w:rFonts w:ascii="Courier New" w:hAnsi="Courier New" w:hint="default"/>
      </w:rPr>
    </w:lvl>
    <w:lvl w:ilvl="8" w:tplc="08070005" w:tentative="1">
      <w:start w:val="1"/>
      <w:numFmt w:val="bullet"/>
      <w:lvlText w:val=""/>
      <w:lvlJc w:val="left"/>
      <w:pPr>
        <w:tabs>
          <w:tab w:val="num" w:pos="8460"/>
        </w:tabs>
        <w:ind w:left="8460" w:hanging="360"/>
      </w:pPr>
      <w:rPr>
        <w:rFonts w:ascii="Wingdings" w:hAnsi="Wingdings" w:hint="default"/>
      </w:rPr>
    </w:lvl>
  </w:abstractNum>
  <w:abstractNum w:abstractNumId="1">
    <w:nsid w:val="2B1E6B70"/>
    <w:multiLevelType w:val="hybridMultilevel"/>
    <w:tmpl w:val="E8CC7AC6"/>
    <w:lvl w:ilvl="0" w:tplc="0407000B">
      <w:start w:val="1"/>
      <w:numFmt w:val="bullet"/>
      <w:lvlText w:val=""/>
      <w:lvlJc w:val="left"/>
      <w:pPr>
        <w:tabs>
          <w:tab w:val="num" w:pos="2877"/>
        </w:tabs>
        <w:ind w:left="2877" w:hanging="360"/>
      </w:pPr>
      <w:rPr>
        <w:rFonts w:ascii="Wingdings" w:hAnsi="Wingdings" w:hint="default"/>
      </w:rPr>
    </w:lvl>
    <w:lvl w:ilvl="1" w:tplc="04070003">
      <w:start w:val="1"/>
      <w:numFmt w:val="bullet"/>
      <w:lvlText w:val="o"/>
      <w:lvlJc w:val="left"/>
      <w:pPr>
        <w:tabs>
          <w:tab w:val="num" w:pos="3597"/>
        </w:tabs>
        <w:ind w:left="3597" w:hanging="360"/>
      </w:pPr>
      <w:rPr>
        <w:rFonts w:ascii="Courier New" w:hAnsi="Courier New" w:hint="default"/>
      </w:rPr>
    </w:lvl>
    <w:lvl w:ilvl="2" w:tplc="04070005" w:tentative="1">
      <w:start w:val="1"/>
      <w:numFmt w:val="bullet"/>
      <w:lvlText w:val=""/>
      <w:lvlJc w:val="left"/>
      <w:pPr>
        <w:tabs>
          <w:tab w:val="num" w:pos="4317"/>
        </w:tabs>
        <w:ind w:left="4317" w:hanging="360"/>
      </w:pPr>
      <w:rPr>
        <w:rFonts w:ascii="Wingdings" w:hAnsi="Wingdings" w:hint="default"/>
      </w:rPr>
    </w:lvl>
    <w:lvl w:ilvl="3" w:tplc="04070001" w:tentative="1">
      <w:start w:val="1"/>
      <w:numFmt w:val="bullet"/>
      <w:lvlText w:val=""/>
      <w:lvlJc w:val="left"/>
      <w:pPr>
        <w:tabs>
          <w:tab w:val="num" w:pos="5037"/>
        </w:tabs>
        <w:ind w:left="5037" w:hanging="360"/>
      </w:pPr>
      <w:rPr>
        <w:rFonts w:ascii="Symbol" w:hAnsi="Symbol" w:hint="default"/>
      </w:rPr>
    </w:lvl>
    <w:lvl w:ilvl="4" w:tplc="04070003" w:tentative="1">
      <w:start w:val="1"/>
      <w:numFmt w:val="bullet"/>
      <w:lvlText w:val="o"/>
      <w:lvlJc w:val="left"/>
      <w:pPr>
        <w:tabs>
          <w:tab w:val="num" w:pos="5757"/>
        </w:tabs>
        <w:ind w:left="5757" w:hanging="360"/>
      </w:pPr>
      <w:rPr>
        <w:rFonts w:ascii="Courier New" w:hAnsi="Courier New" w:hint="default"/>
      </w:rPr>
    </w:lvl>
    <w:lvl w:ilvl="5" w:tplc="04070005" w:tentative="1">
      <w:start w:val="1"/>
      <w:numFmt w:val="bullet"/>
      <w:lvlText w:val=""/>
      <w:lvlJc w:val="left"/>
      <w:pPr>
        <w:tabs>
          <w:tab w:val="num" w:pos="6477"/>
        </w:tabs>
        <w:ind w:left="6477" w:hanging="360"/>
      </w:pPr>
      <w:rPr>
        <w:rFonts w:ascii="Wingdings" w:hAnsi="Wingdings" w:hint="default"/>
      </w:rPr>
    </w:lvl>
    <w:lvl w:ilvl="6" w:tplc="04070001" w:tentative="1">
      <w:start w:val="1"/>
      <w:numFmt w:val="bullet"/>
      <w:lvlText w:val=""/>
      <w:lvlJc w:val="left"/>
      <w:pPr>
        <w:tabs>
          <w:tab w:val="num" w:pos="7197"/>
        </w:tabs>
        <w:ind w:left="7197" w:hanging="360"/>
      </w:pPr>
      <w:rPr>
        <w:rFonts w:ascii="Symbol" w:hAnsi="Symbol" w:hint="default"/>
      </w:rPr>
    </w:lvl>
    <w:lvl w:ilvl="7" w:tplc="04070003" w:tentative="1">
      <w:start w:val="1"/>
      <w:numFmt w:val="bullet"/>
      <w:lvlText w:val="o"/>
      <w:lvlJc w:val="left"/>
      <w:pPr>
        <w:tabs>
          <w:tab w:val="num" w:pos="7917"/>
        </w:tabs>
        <w:ind w:left="7917" w:hanging="360"/>
      </w:pPr>
      <w:rPr>
        <w:rFonts w:ascii="Courier New" w:hAnsi="Courier New" w:hint="default"/>
      </w:rPr>
    </w:lvl>
    <w:lvl w:ilvl="8" w:tplc="04070005" w:tentative="1">
      <w:start w:val="1"/>
      <w:numFmt w:val="bullet"/>
      <w:lvlText w:val=""/>
      <w:lvlJc w:val="left"/>
      <w:pPr>
        <w:tabs>
          <w:tab w:val="num" w:pos="8637"/>
        </w:tabs>
        <w:ind w:left="8637" w:hanging="360"/>
      </w:pPr>
      <w:rPr>
        <w:rFonts w:ascii="Wingdings" w:hAnsi="Wingdings" w:hint="default"/>
      </w:rPr>
    </w:lvl>
  </w:abstractNum>
  <w:abstractNum w:abstractNumId="2">
    <w:nsid w:val="42226091"/>
    <w:multiLevelType w:val="hybridMultilevel"/>
    <w:tmpl w:val="BA4C8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5B481124"/>
    <w:multiLevelType w:val="hybridMultilevel"/>
    <w:tmpl w:val="A7F291C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iana Baettig">
    <w15:presenceInfo w15:providerId="Windows Live" w15:userId="56a8f94fbacea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30"/>
    <w:rsid w:val="00005FA7"/>
    <w:rsid w:val="000103A5"/>
    <w:rsid w:val="00012171"/>
    <w:rsid w:val="00012514"/>
    <w:rsid w:val="00014400"/>
    <w:rsid w:val="000351A8"/>
    <w:rsid w:val="0003734C"/>
    <w:rsid w:val="000409ED"/>
    <w:rsid w:val="00041E34"/>
    <w:rsid w:val="00066937"/>
    <w:rsid w:val="00083C86"/>
    <w:rsid w:val="00084C7F"/>
    <w:rsid w:val="000959C0"/>
    <w:rsid w:val="00097C7E"/>
    <w:rsid w:val="000A37E3"/>
    <w:rsid w:val="000A68CD"/>
    <w:rsid w:val="000B4808"/>
    <w:rsid w:val="000B6620"/>
    <w:rsid w:val="000D04F0"/>
    <w:rsid w:val="000D057C"/>
    <w:rsid w:val="000E16E8"/>
    <w:rsid w:val="00132FAC"/>
    <w:rsid w:val="0014084B"/>
    <w:rsid w:val="001657B1"/>
    <w:rsid w:val="00180848"/>
    <w:rsid w:val="00194CC5"/>
    <w:rsid w:val="001A2E80"/>
    <w:rsid w:val="001D7E9E"/>
    <w:rsid w:val="001E0BFE"/>
    <w:rsid w:val="001E132D"/>
    <w:rsid w:val="001E1747"/>
    <w:rsid w:val="001F5935"/>
    <w:rsid w:val="002075F2"/>
    <w:rsid w:val="002137C9"/>
    <w:rsid w:val="002215AD"/>
    <w:rsid w:val="00226498"/>
    <w:rsid w:val="00235E15"/>
    <w:rsid w:val="002435A2"/>
    <w:rsid w:val="002550E6"/>
    <w:rsid w:val="002605FF"/>
    <w:rsid w:val="002778A3"/>
    <w:rsid w:val="00277A22"/>
    <w:rsid w:val="00277EB4"/>
    <w:rsid w:val="00280715"/>
    <w:rsid w:val="002840A1"/>
    <w:rsid w:val="0028620E"/>
    <w:rsid w:val="002E0158"/>
    <w:rsid w:val="002E29FC"/>
    <w:rsid w:val="002E49F5"/>
    <w:rsid w:val="002E726E"/>
    <w:rsid w:val="00300356"/>
    <w:rsid w:val="00306E6A"/>
    <w:rsid w:val="00330E54"/>
    <w:rsid w:val="003439F1"/>
    <w:rsid w:val="00362372"/>
    <w:rsid w:val="00374BD8"/>
    <w:rsid w:val="00386883"/>
    <w:rsid w:val="00395B1B"/>
    <w:rsid w:val="003975E4"/>
    <w:rsid w:val="003B5F9A"/>
    <w:rsid w:val="003C5831"/>
    <w:rsid w:val="003D1DFD"/>
    <w:rsid w:val="003D5DBB"/>
    <w:rsid w:val="003E14E3"/>
    <w:rsid w:val="003E78F2"/>
    <w:rsid w:val="004246AB"/>
    <w:rsid w:val="00434874"/>
    <w:rsid w:val="00440579"/>
    <w:rsid w:val="004415C4"/>
    <w:rsid w:val="00455004"/>
    <w:rsid w:val="00462D77"/>
    <w:rsid w:val="004637FE"/>
    <w:rsid w:val="004640CD"/>
    <w:rsid w:val="00467787"/>
    <w:rsid w:val="00470D8E"/>
    <w:rsid w:val="00491AE9"/>
    <w:rsid w:val="00491B37"/>
    <w:rsid w:val="00496902"/>
    <w:rsid w:val="004C0D55"/>
    <w:rsid w:val="004D0884"/>
    <w:rsid w:val="004E5C63"/>
    <w:rsid w:val="004E7237"/>
    <w:rsid w:val="004E733B"/>
    <w:rsid w:val="004F20B3"/>
    <w:rsid w:val="004F5ED1"/>
    <w:rsid w:val="005077F3"/>
    <w:rsid w:val="00510FAC"/>
    <w:rsid w:val="00523AD3"/>
    <w:rsid w:val="0053699C"/>
    <w:rsid w:val="0053771A"/>
    <w:rsid w:val="00553227"/>
    <w:rsid w:val="00554A2C"/>
    <w:rsid w:val="005553B9"/>
    <w:rsid w:val="0055550D"/>
    <w:rsid w:val="00566CC2"/>
    <w:rsid w:val="005925F0"/>
    <w:rsid w:val="00593C4C"/>
    <w:rsid w:val="005B2E95"/>
    <w:rsid w:val="005B623E"/>
    <w:rsid w:val="005C4AAE"/>
    <w:rsid w:val="005D6A2D"/>
    <w:rsid w:val="005D71CD"/>
    <w:rsid w:val="005E30B3"/>
    <w:rsid w:val="005E6BEE"/>
    <w:rsid w:val="005F28F9"/>
    <w:rsid w:val="00601A9D"/>
    <w:rsid w:val="00621111"/>
    <w:rsid w:val="00622E51"/>
    <w:rsid w:val="006326EB"/>
    <w:rsid w:val="00644937"/>
    <w:rsid w:val="00651B55"/>
    <w:rsid w:val="00653273"/>
    <w:rsid w:val="00662AAF"/>
    <w:rsid w:val="00667F67"/>
    <w:rsid w:val="00693153"/>
    <w:rsid w:val="006A4408"/>
    <w:rsid w:val="006C3D83"/>
    <w:rsid w:val="006D7579"/>
    <w:rsid w:val="006F20EE"/>
    <w:rsid w:val="006F5A55"/>
    <w:rsid w:val="00701066"/>
    <w:rsid w:val="0071680D"/>
    <w:rsid w:val="00720152"/>
    <w:rsid w:val="00727012"/>
    <w:rsid w:val="007323E0"/>
    <w:rsid w:val="007451C2"/>
    <w:rsid w:val="00765FD2"/>
    <w:rsid w:val="00767A9E"/>
    <w:rsid w:val="0078792C"/>
    <w:rsid w:val="007B38E0"/>
    <w:rsid w:val="007B509E"/>
    <w:rsid w:val="007C6B99"/>
    <w:rsid w:val="007D3252"/>
    <w:rsid w:val="007F4839"/>
    <w:rsid w:val="008141A0"/>
    <w:rsid w:val="0082301A"/>
    <w:rsid w:val="008272C7"/>
    <w:rsid w:val="008277A0"/>
    <w:rsid w:val="00827A57"/>
    <w:rsid w:val="008415F2"/>
    <w:rsid w:val="00857F7F"/>
    <w:rsid w:val="00863BFB"/>
    <w:rsid w:val="00866B38"/>
    <w:rsid w:val="008720A7"/>
    <w:rsid w:val="00880A9B"/>
    <w:rsid w:val="008908E0"/>
    <w:rsid w:val="00892A3B"/>
    <w:rsid w:val="00892FA7"/>
    <w:rsid w:val="00893446"/>
    <w:rsid w:val="008934C7"/>
    <w:rsid w:val="00895783"/>
    <w:rsid w:val="008A45DC"/>
    <w:rsid w:val="008A59F3"/>
    <w:rsid w:val="008B7207"/>
    <w:rsid w:val="008C1D67"/>
    <w:rsid w:val="008F53D2"/>
    <w:rsid w:val="009019A4"/>
    <w:rsid w:val="00911EF6"/>
    <w:rsid w:val="00920F91"/>
    <w:rsid w:val="00941EFE"/>
    <w:rsid w:val="00943C4D"/>
    <w:rsid w:val="0094775E"/>
    <w:rsid w:val="00952A7C"/>
    <w:rsid w:val="009602E5"/>
    <w:rsid w:val="00987D3C"/>
    <w:rsid w:val="009A21ED"/>
    <w:rsid w:val="009A576F"/>
    <w:rsid w:val="009B7D11"/>
    <w:rsid w:val="009D6061"/>
    <w:rsid w:val="009E0E7F"/>
    <w:rsid w:val="009E1871"/>
    <w:rsid w:val="009E3424"/>
    <w:rsid w:val="009E5DED"/>
    <w:rsid w:val="00A047E4"/>
    <w:rsid w:val="00A11A72"/>
    <w:rsid w:val="00A2219D"/>
    <w:rsid w:val="00A22708"/>
    <w:rsid w:val="00A26BB2"/>
    <w:rsid w:val="00A35035"/>
    <w:rsid w:val="00A52CE1"/>
    <w:rsid w:val="00A5553A"/>
    <w:rsid w:val="00A567BC"/>
    <w:rsid w:val="00A64E91"/>
    <w:rsid w:val="00A70928"/>
    <w:rsid w:val="00A73F35"/>
    <w:rsid w:val="00A815E8"/>
    <w:rsid w:val="00A83526"/>
    <w:rsid w:val="00AA2FB9"/>
    <w:rsid w:val="00AA4D7F"/>
    <w:rsid w:val="00AC2265"/>
    <w:rsid w:val="00AC6323"/>
    <w:rsid w:val="00AD2115"/>
    <w:rsid w:val="00AD7888"/>
    <w:rsid w:val="00AE2C55"/>
    <w:rsid w:val="00AE3C3B"/>
    <w:rsid w:val="00AE4880"/>
    <w:rsid w:val="00B00523"/>
    <w:rsid w:val="00B15090"/>
    <w:rsid w:val="00B15A85"/>
    <w:rsid w:val="00B27C6E"/>
    <w:rsid w:val="00B40B3B"/>
    <w:rsid w:val="00B43596"/>
    <w:rsid w:val="00B62478"/>
    <w:rsid w:val="00B625E7"/>
    <w:rsid w:val="00B71F11"/>
    <w:rsid w:val="00B84BDD"/>
    <w:rsid w:val="00B95290"/>
    <w:rsid w:val="00BB6E9C"/>
    <w:rsid w:val="00BC1645"/>
    <w:rsid w:val="00BC3D77"/>
    <w:rsid w:val="00BD12EE"/>
    <w:rsid w:val="00BD5244"/>
    <w:rsid w:val="00BD59EF"/>
    <w:rsid w:val="00BE7A5C"/>
    <w:rsid w:val="00C026BF"/>
    <w:rsid w:val="00C22DF7"/>
    <w:rsid w:val="00C34209"/>
    <w:rsid w:val="00C5210D"/>
    <w:rsid w:val="00C57B53"/>
    <w:rsid w:val="00C73DDF"/>
    <w:rsid w:val="00C77A30"/>
    <w:rsid w:val="00C83D9F"/>
    <w:rsid w:val="00C87AA8"/>
    <w:rsid w:val="00C97511"/>
    <w:rsid w:val="00CA4102"/>
    <w:rsid w:val="00CA7092"/>
    <w:rsid w:val="00CC5D8F"/>
    <w:rsid w:val="00CE78C9"/>
    <w:rsid w:val="00D11920"/>
    <w:rsid w:val="00D3679A"/>
    <w:rsid w:val="00D56828"/>
    <w:rsid w:val="00D62CF2"/>
    <w:rsid w:val="00D7177C"/>
    <w:rsid w:val="00D86830"/>
    <w:rsid w:val="00DA7364"/>
    <w:rsid w:val="00DB3130"/>
    <w:rsid w:val="00DC5DC9"/>
    <w:rsid w:val="00DD6706"/>
    <w:rsid w:val="00DE1A6E"/>
    <w:rsid w:val="00DE6D5B"/>
    <w:rsid w:val="00DF380D"/>
    <w:rsid w:val="00DF67F9"/>
    <w:rsid w:val="00E0039F"/>
    <w:rsid w:val="00E00A6B"/>
    <w:rsid w:val="00E010CB"/>
    <w:rsid w:val="00E03D45"/>
    <w:rsid w:val="00E07AA6"/>
    <w:rsid w:val="00E123A5"/>
    <w:rsid w:val="00E13B82"/>
    <w:rsid w:val="00E173CE"/>
    <w:rsid w:val="00E23559"/>
    <w:rsid w:val="00E25F66"/>
    <w:rsid w:val="00E323E7"/>
    <w:rsid w:val="00E726A9"/>
    <w:rsid w:val="00E76BD1"/>
    <w:rsid w:val="00E80D91"/>
    <w:rsid w:val="00E81C7F"/>
    <w:rsid w:val="00E82BEB"/>
    <w:rsid w:val="00E90C2D"/>
    <w:rsid w:val="00EA4DD6"/>
    <w:rsid w:val="00EB0059"/>
    <w:rsid w:val="00EB654C"/>
    <w:rsid w:val="00EC265E"/>
    <w:rsid w:val="00EC2A31"/>
    <w:rsid w:val="00EC52C9"/>
    <w:rsid w:val="00ED3E25"/>
    <w:rsid w:val="00ED46D2"/>
    <w:rsid w:val="00ED4DAC"/>
    <w:rsid w:val="00ED5B6B"/>
    <w:rsid w:val="00EF361C"/>
    <w:rsid w:val="00F01B27"/>
    <w:rsid w:val="00F07077"/>
    <w:rsid w:val="00F104B0"/>
    <w:rsid w:val="00F20BD9"/>
    <w:rsid w:val="00F3209A"/>
    <w:rsid w:val="00F41119"/>
    <w:rsid w:val="00F419E6"/>
    <w:rsid w:val="00F459FB"/>
    <w:rsid w:val="00F5208E"/>
    <w:rsid w:val="00F56D0E"/>
    <w:rsid w:val="00F60475"/>
    <w:rsid w:val="00F60DBF"/>
    <w:rsid w:val="00F678E4"/>
    <w:rsid w:val="00F7075A"/>
    <w:rsid w:val="00F74B04"/>
    <w:rsid w:val="00F81E63"/>
    <w:rsid w:val="00FA02A4"/>
    <w:rsid w:val="00FA6D54"/>
    <w:rsid w:val="00FB5F57"/>
    <w:rsid w:val="00FD5423"/>
    <w:rsid w:val="00FE7758"/>
    <w:rsid w:val="00FF05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AE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830"/>
    <w:pPr>
      <w:spacing w:after="200" w:line="276" w:lineRule="auto"/>
    </w:pPr>
    <w:rPr>
      <w:rFonts w:ascii="Georgia" w:hAnsi="Georgia"/>
      <w:sz w:val="20"/>
    </w:rPr>
  </w:style>
  <w:style w:type="paragraph" w:styleId="berschrift1">
    <w:name w:val="heading 1"/>
    <w:basedOn w:val="Standard"/>
    <w:next w:val="Standard"/>
    <w:link w:val="berschrift1Zchn"/>
    <w:uiPriority w:val="99"/>
    <w:qFormat/>
    <w:rsid w:val="004246AB"/>
    <w:pPr>
      <w:keepNext/>
      <w:tabs>
        <w:tab w:val="left" w:pos="1605"/>
      </w:tabs>
      <w:spacing w:after="120" w:line="240" w:lineRule="auto"/>
      <w:jc w:val="center"/>
      <w:outlineLvl w:val="0"/>
    </w:pPr>
    <w:rPr>
      <w:rFonts w:ascii="Arial" w:hAnsi="Arial"/>
      <w:b/>
      <w:i/>
      <w:szCs w:val="24"/>
    </w:rPr>
  </w:style>
  <w:style w:type="paragraph" w:styleId="berschrift2">
    <w:name w:val="heading 2"/>
    <w:basedOn w:val="Standard"/>
    <w:next w:val="Standard"/>
    <w:link w:val="berschrift2Zchn"/>
    <w:uiPriority w:val="99"/>
    <w:qFormat/>
    <w:rsid w:val="00D3679A"/>
    <w:pPr>
      <w:keepNext/>
      <w:spacing w:before="240" w:after="60" w:line="240" w:lineRule="auto"/>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eastAsia="it-IT"/>
    </w:rPr>
  </w:style>
  <w:style w:type="character" w:customStyle="1" w:styleId="berschrift2Zchn">
    <w:name w:val="Überschrift 2 Zchn"/>
    <w:basedOn w:val="Absatz-Standardschriftart"/>
    <w:link w:val="berschrift2"/>
    <w:uiPriority w:val="99"/>
    <w:semiHidden/>
    <w:locked/>
    <w:rsid w:val="00D3679A"/>
    <w:rPr>
      <w:rFonts w:ascii="Cambria" w:hAnsi="Cambria" w:cs="Times New Roman"/>
      <w:b/>
      <w:i/>
      <w:sz w:val="28"/>
    </w:rPr>
  </w:style>
  <w:style w:type="paragraph" w:styleId="Textkrper-Zeileneinzug">
    <w:name w:val="Body Text Indent"/>
    <w:basedOn w:val="Standard"/>
    <w:link w:val="Textkrper-ZeileneinzugZchn"/>
    <w:uiPriority w:val="99"/>
    <w:rsid w:val="004246AB"/>
    <w:pPr>
      <w:tabs>
        <w:tab w:val="left" w:pos="1980"/>
      </w:tabs>
      <w:spacing w:after="0" w:line="240" w:lineRule="auto"/>
      <w:ind w:left="1980" w:hanging="1980"/>
    </w:pPr>
    <w:rPr>
      <w:rFonts w:ascii="Arial" w:hAnsi="Arial"/>
      <w:sz w:val="22"/>
      <w:szCs w:val="24"/>
    </w:rPr>
  </w:style>
  <w:style w:type="character" w:customStyle="1" w:styleId="Textkrper-ZeileneinzugZchn">
    <w:name w:val="Textkörper-Zeileneinzug Zchn"/>
    <w:basedOn w:val="Absatz-Standardschriftart"/>
    <w:link w:val="Textkrper-Zeileneinzug"/>
    <w:uiPriority w:val="99"/>
    <w:semiHidden/>
    <w:locked/>
    <w:rPr>
      <w:rFonts w:ascii="Georgia" w:hAnsi="Georgia" w:cs="Times New Roman"/>
      <w:sz w:val="20"/>
      <w:lang w:eastAsia="it-IT"/>
    </w:rPr>
  </w:style>
  <w:style w:type="paragraph" w:styleId="Sprechblasentext">
    <w:name w:val="Balloon Text"/>
    <w:basedOn w:val="Standard"/>
    <w:link w:val="SprechblasentextZchn"/>
    <w:uiPriority w:val="99"/>
    <w:semiHidden/>
    <w:rsid w:val="002E015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eastAsia="it-IT"/>
    </w:rPr>
  </w:style>
  <w:style w:type="character" w:styleId="Hyperlink">
    <w:name w:val="Hyperlink"/>
    <w:basedOn w:val="Absatz-Standardschriftart"/>
    <w:uiPriority w:val="99"/>
    <w:rsid w:val="00BD12EE"/>
    <w:rPr>
      <w:rFonts w:cs="Times New Roman"/>
      <w:color w:val="0000FF"/>
      <w:u w:val="single"/>
    </w:rPr>
  </w:style>
  <w:style w:type="paragraph" w:styleId="Kopfzeile">
    <w:name w:val="header"/>
    <w:basedOn w:val="Standard"/>
    <w:link w:val="KopfzeileZchn"/>
    <w:uiPriority w:val="99"/>
    <w:rsid w:val="003439F1"/>
    <w:pPr>
      <w:tabs>
        <w:tab w:val="center" w:pos="4536"/>
        <w:tab w:val="right" w:pos="9072"/>
      </w:tabs>
      <w:spacing w:after="0" w:line="240" w:lineRule="auto"/>
    </w:pPr>
    <w:rPr>
      <w:rFonts w:ascii="Arial" w:hAnsi="Arial"/>
      <w:sz w:val="22"/>
    </w:rPr>
  </w:style>
  <w:style w:type="character" w:customStyle="1" w:styleId="KopfzeileZchn">
    <w:name w:val="Kopfzeile Zchn"/>
    <w:basedOn w:val="Absatz-Standardschriftart"/>
    <w:link w:val="Kopfzeile"/>
    <w:uiPriority w:val="99"/>
    <w:locked/>
    <w:rsid w:val="003439F1"/>
    <w:rPr>
      <w:rFonts w:ascii="Arial" w:hAnsi="Arial" w:cs="Times New Roman"/>
      <w:sz w:val="22"/>
    </w:rPr>
  </w:style>
  <w:style w:type="paragraph" w:styleId="Fuzeile">
    <w:name w:val="footer"/>
    <w:basedOn w:val="Standard"/>
    <w:link w:val="FuzeileZchn"/>
    <w:uiPriority w:val="99"/>
    <w:rsid w:val="003439F1"/>
    <w:pPr>
      <w:tabs>
        <w:tab w:val="center" w:pos="4536"/>
        <w:tab w:val="right" w:pos="9072"/>
      </w:tabs>
      <w:spacing w:after="0" w:line="240" w:lineRule="auto"/>
    </w:pPr>
    <w:rPr>
      <w:rFonts w:ascii="Arial" w:hAnsi="Arial"/>
      <w:sz w:val="22"/>
    </w:rPr>
  </w:style>
  <w:style w:type="character" w:customStyle="1" w:styleId="FuzeileZchn">
    <w:name w:val="Fußzeile Zchn"/>
    <w:basedOn w:val="Absatz-Standardschriftart"/>
    <w:link w:val="Fuzeile"/>
    <w:uiPriority w:val="99"/>
    <w:locked/>
    <w:rsid w:val="003439F1"/>
    <w:rPr>
      <w:rFonts w:ascii="Arial" w:hAnsi="Arial" w:cs="Times New Roman"/>
      <w:sz w:val="22"/>
    </w:rPr>
  </w:style>
  <w:style w:type="paragraph" w:customStyle="1" w:styleId="Formatvorlage1">
    <w:name w:val="Formatvorlage1"/>
    <w:basedOn w:val="Standard"/>
    <w:uiPriority w:val="99"/>
    <w:rsid w:val="008141A0"/>
    <w:pPr>
      <w:spacing w:after="0" w:line="240" w:lineRule="auto"/>
    </w:pPr>
    <w:rPr>
      <w:rFonts w:ascii="Arial" w:hAnsi="Arial"/>
      <w:sz w:val="22"/>
      <w:szCs w:val="24"/>
    </w:rPr>
  </w:style>
  <w:style w:type="paragraph" w:styleId="Textkrper">
    <w:name w:val="Body Text"/>
    <w:basedOn w:val="Standard"/>
    <w:link w:val="TextkrperZchn"/>
    <w:uiPriority w:val="99"/>
    <w:semiHidden/>
    <w:rsid w:val="00D3679A"/>
    <w:pPr>
      <w:spacing w:after="120" w:line="240" w:lineRule="auto"/>
    </w:pPr>
    <w:rPr>
      <w:rFonts w:ascii="Arial" w:hAnsi="Arial"/>
      <w:sz w:val="22"/>
    </w:rPr>
  </w:style>
  <w:style w:type="character" w:customStyle="1" w:styleId="TextkrperZchn">
    <w:name w:val="Textkörper Zchn"/>
    <w:basedOn w:val="Absatz-Standardschriftart"/>
    <w:link w:val="Textkrper"/>
    <w:uiPriority w:val="99"/>
    <w:semiHidden/>
    <w:locked/>
    <w:rsid w:val="00D3679A"/>
    <w:rPr>
      <w:rFonts w:ascii="Arial" w:hAnsi="Arial" w:cs="Times New Roman"/>
      <w:sz w:val="22"/>
    </w:rPr>
  </w:style>
  <w:style w:type="table" w:styleId="Tabellenraster">
    <w:name w:val="Table Grid"/>
    <w:basedOn w:val="NormaleTabelle"/>
    <w:uiPriority w:val="99"/>
    <w:rsid w:val="00D86830"/>
    <w:rPr>
      <w:rFonts w:ascii="Georgia" w:hAnsi="Georg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locked/>
    <w:rsid w:val="00E82BEB"/>
    <w:rPr>
      <w:rFonts w:ascii="Georgia" w:hAnsi="Georgia" w:cs="Times New Roman"/>
      <w:lang w:eastAsia="it-IT"/>
    </w:rPr>
  </w:style>
  <w:style w:type="paragraph" w:styleId="Kommentarthema">
    <w:name w:val="annotation subject"/>
    <w:basedOn w:val="Kommentartext"/>
    <w:next w:val="Kommentartext"/>
    <w:link w:val="KommentarthemaZchn"/>
    <w:uiPriority w:val="99"/>
    <w:semiHidden/>
    <w:rsid w:val="00E82BEB"/>
    <w:rPr>
      <w:b/>
      <w:bCs/>
    </w:rPr>
  </w:style>
  <w:style w:type="character" w:customStyle="1" w:styleId="KommentarthemaZchn">
    <w:name w:val="Kommentarthema Zchn"/>
    <w:basedOn w:val="KommentartextZchn"/>
    <w:link w:val="Kommentarthema"/>
    <w:uiPriority w:val="99"/>
    <w:semiHidden/>
    <w:locked/>
    <w:rsid w:val="00E82BEB"/>
    <w:rPr>
      <w:rFonts w:ascii="Georgia" w:hAnsi="Georgia" w:cs="Times New Roman"/>
      <w:b/>
      <w:bCs/>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830"/>
    <w:pPr>
      <w:spacing w:after="200" w:line="276" w:lineRule="auto"/>
    </w:pPr>
    <w:rPr>
      <w:rFonts w:ascii="Georgia" w:hAnsi="Georgia"/>
      <w:sz w:val="20"/>
    </w:rPr>
  </w:style>
  <w:style w:type="paragraph" w:styleId="berschrift1">
    <w:name w:val="heading 1"/>
    <w:basedOn w:val="Standard"/>
    <w:next w:val="Standard"/>
    <w:link w:val="berschrift1Zchn"/>
    <w:uiPriority w:val="99"/>
    <w:qFormat/>
    <w:rsid w:val="004246AB"/>
    <w:pPr>
      <w:keepNext/>
      <w:tabs>
        <w:tab w:val="left" w:pos="1605"/>
      </w:tabs>
      <w:spacing w:after="120" w:line="240" w:lineRule="auto"/>
      <w:jc w:val="center"/>
      <w:outlineLvl w:val="0"/>
    </w:pPr>
    <w:rPr>
      <w:rFonts w:ascii="Arial" w:hAnsi="Arial"/>
      <w:b/>
      <w:i/>
      <w:szCs w:val="24"/>
    </w:rPr>
  </w:style>
  <w:style w:type="paragraph" w:styleId="berschrift2">
    <w:name w:val="heading 2"/>
    <w:basedOn w:val="Standard"/>
    <w:next w:val="Standard"/>
    <w:link w:val="berschrift2Zchn"/>
    <w:uiPriority w:val="99"/>
    <w:qFormat/>
    <w:rsid w:val="00D3679A"/>
    <w:pPr>
      <w:keepNext/>
      <w:spacing w:before="240" w:after="60" w:line="240" w:lineRule="auto"/>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eastAsia="it-IT"/>
    </w:rPr>
  </w:style>
  <w:style w:type="character" w:customStyle="1" w:styleId="berschrift2Zchn">
    <w:name w:val="Überschrift 2 Zchn"/>
    <w:basedOn w:val="Absatz-Standardschriftart"/>
    <w:link w:val="berschrift2"/>
    <w:uiPriority w:val="99"/>
    <w:semiHidden/>
    <w:locked/>
    <w:rsid w:val="00D3679A"/>
    <w:rPr>
      <w:rFonts w:ascii="Cambria" w:hAnsi="Cambria" w:cs="Times New Roman"/>
      <w:b/>
      <w:i/>
      <w:sz w:val="28"/>
    </w:rPr>
  </w:style>
  <w:style w:type="paragraph" w:styleId="Textkrper-Zeileneinzug">
    <w:name w:val="Body Text Indent"/>
    <w:basedOn w:val="Standard"/>
    <w:link w:val="Textkrper-ZeileneinzugZchn"/>
    <w:uiPriority w:val="99"/>
    <w:rsid w:val="004246AB"/>
    <w:pPr>
      <w:tabs>
        <w:tab w:val="left" w:pos="1980"/>
      </w:tabs>
      <w:spacing w:after="0" w:line="240" w:lineRule="auto"/>
      <w:ind w:left="1980" w:hanging="1980"/>
    </w:pPr>
    <w:rPr>
      <w:rFonts w:ascii="Arial" w:hAnsi="Arial"/>
      <w:sz w:val="22"/>
      <w:szCs w:val="24"/>
    </w:rPr>
  </w:style>
  <w:style w:type="character" w:customStyle="1" w:styleId="Textkrper-ZeileneinzugZchn">
    <w:name w:val="Textkörper-Zeileneinzug Zchn"/>
    <w:basedOn w:val="Absatz-Standardschriftart"/>
    <w:link w:val="Textkrper-Zeileneinzug"/>
    <w:uiPriority w:val="99"/>
    <w:semiHidden/>
    <w:locked/>
    <w:rPr>
      <w:rFonts w:ascii="Georgia" w:hAnsi="Georgia" w:cs="Times New Roman"/>
      <w:sz w:val="20"/>
      <w:lang w:eastAsia="it-IT"/>
    </w:rPr>
  </w:style>
  <w:style w:type="paragraph" w:styleId="Sprechblasentext">
    <w:name w:val="Balloon Text"/>
    <w:basedOn w:val="Standard"/>
    <w:link w:val="SprechblasentextZchn"/>
    <w:uiPriority w:val="99"/>
    <w:semiHidden/>
    <w:rsid w:val="002E015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eastAsia="it-IT"/>
    </w:rPr>
  </w:style>
  <w:style w:type="character" w:styleId="Hyperlink">
    <w:name w:val="Hyperlink"/>
    <w:basedOn w:val="Absatz-Standardschriftart"/>
    <w:uiPriority w:val="99"/>
    <w:rsid w:val="00BD12EE"/>
    <w:rPr>
      <w:rFonts w:cs="Times New Roman"/>
      <w:color w:val="0000FF"/>
      <w:u w:val="single"/>
    </w:rPr>
  </w:style>
  <w:style w:type="paragraph" w:styleId="Kopfzeile">
    <w:name w:val="header"/>
    <w:basedOn w:val="Standard"/>
    <w:link w:val="KopfzeileZchn"/>
    <w:uiPriority w:val="99"/>
    <w:rsid w:val="003439F1"/>
    <w:pPr>
      <w:tabs>
        <w:tab w:val="center" w:pos="4536"/>
        <w:tab w:val="right" w:pos="9072"/>
      </w:tabs>
      <w:spacing w:after="0" w:line="240" w:lineRule="auto"/>
    </w:pPr>
    <w:rPr>
      <w:rFonts w:ascii="Arial" w:hAnsi="Arial"/>
      <w:sz w:val="22"/>
    </w:rPr>
  </w:style>
  <w:style w:type="character" w:customStyle="1" w:styleId="KopfzeileZchn">
    <w:name w:val="Kopfzeile Zchn"/>
    <w:basedOn w:val="Absatz-Standardschriftart"/>
    <w:link w:val="Kopfzeile"/>
    <w:uiPriority w:val="99"/>
    <w:locked/>
    <w:rsid w:val="003439F1"/>
    <w:rPr>
      <w:rFonts w:ascii="Arial" w:hAnsi="Arial" w:cs="Times New Roman"/>
      <w:sz w:val="22"/>
    </w:rPr>
  </w:style>
  <w:style w:type="paragraph" w:styleId="Fuzeile">
    <w:name w:val="footer"/>
    <w:basedOn w:val="Standard"/>
    <w:link w:val="FuzeileZchn"/>
    <w:uiPriority w:val="99"/>
    <w:rsid w:val="003439F1"/>
    <w:pPr>
      <w:tabs>
        <w:tab w:val="center" w:pos="4536"/>
        <w:tab w:val="right" w:pos="9072"/>
      </w:tabs>
      <w:spacing w:after="0" w:line="240" w:lineRule="auto"/>
    </w:pPr>
    <w:rPr>
      <w:rFonts w:ascii="Arial" w:hAnsi="Arial"/>
      <w:sz w:val="22"/>
    </w:rPr>
  </w:style>
  <w:style w:type="character" w:customStyle="1" w:styleId="FuzeileZchn">
    <w:name w:val="Fußzeile Zchn"/>
    <w:basedOn w:val="Absatz-Standardschriftart"/>
    <w:link w:val="Fuzeile"/>
    <w:uiPriority w:val="99"/>
    <w:locked/>
    <w:rsid w:val="003439F1"/>
    <w:rPr>
      <w:rFonts w:ascii="Arial" w:hAnsi="Arial" w:cs="Times New Roman"/>
      <w:sz w:val="22"/>
    </w:rPr>
  </w:style>
  <w:style w:type="paragraph" w:customStyle="1" w:styleId="Formatvorlage1">
    <w:name w:val="Formatvorlage1"/>
    <w:basedOn w:val="Standard"/>
    <w:uiPriority w:val="99"/>
    <w:rsid w:val="008141A0"/>
    <w:pPr>
      <w:spacing w:after="0" w:line="240" w:lineRule="auto"/>
    </w:pPr>
    <w:rPr>
      <w:rFonts w:ascii="Arial" w:hAnsi="Arial"/>
      <w:sz w:val="22"/>
      <w:szCs w:val="24"/>
    </w:rPr>
  </w:style>
  <w:style w:type="paragraph" w:styleId="Textkrper">
    <w:name w:val="Body Text"/>
    <w:basedOn w:val="Standard"/>
    <w:link w:val="TextkrperZchn"/>
    <w:uiPriority w:val="99"/>
    <w:semiHidden/>
    <w:rsid w:val="00D3679A"/>
    <w:pPr>
      <w:spacing w:after="120" w:line="240" w:lineRule="auto"/>
    </w:pPr>
    <w:rPr>
      <w:rFonts w:ascii="Arial" w:hAnsi="Arial"/>
      <w:sz w:val="22"/>
    </w:rPr>
  </w:style>
  <w:style w:type="character" w:customStyle="1" w:styleId="TextkrperZchn">
    <w:name w:val="Textkörper Zchn"/>
    <w:basedOn w:val="Absatz-Standardschriftart"/>
    <w:link w:val="Textkrper"/>
    <w:uiPriority w:val="99"/>
    <w:semiHidden/>
    <w:locked/>
    <w:rsid w:val="00D3679A"/>
    <w:rPr>
      <w:rFonts w:ascii="Arial" w:hAnsi="Arial" w:cs="Times New Roman"/>
      <w:sz w:val="22"/>
    </w:rPr>
  </w:style>
  <w:style w:type="table" w:styleId="Tabellenraster">
    <w:name w:val="Table Grid"/>
    <w:basedOn w:val="NormaleTabelle"/>
    <w:uiPriority w:val="99"/>
    <w:rsid w:val="00D86830"/>
    <w:rPr>
      <w:rFonts w:ascii="Georgia" w:hAnsi="Georg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locked/>
    <w:rsid w:val="00E82BEB"/>
    <w:rPr>
      <w:rFonts w:ascii="Georgia" w:hAnsi="Georgia" w:cs="Times New Roman"/>
      <w:lang w:eastAsia="it-IT"/>
    </w:rPr>
  </w:style>
  <w:style w:type="paragraph" w:styleId="Kommentarthema">
    <w:name w:val="annotation subject"/>
    <w:basedOn w:val="Kommentartext"/>
    <w:next w:val="Kommentartext"/>
    <w:link w:val="KommentarthemaZchn"/>
    <w:uiPriority w:val="99"/>
    <w:semiHidden/>
    <w:rsid w:val="00E82BEB"/>
    <w:rPr>
      <w:b/>
      <w:bCs/>
    </w:rPr>
  </w:style>
  <w:style w:type="character" w:customStyle="1" w:styleId="KommentarthemaZchn">
    <w:name w:val="Kommentarthema Zchn"/>
    <w:basedOn w:val="KommentartextZchn"/>
    <w:link w:val="Kommentarthema"/>
    <w:uiPriority w:val="99"/>
    <w:semiHidden/>
    <w:locked/>
    <w:rsid w:val="00E82BEB"/>
    <w:rPr>
      <w:rFonts w:ascii="Georgia" w:hAnsi="Georgia" w:cs="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8742">
      <w:marLeft w:val="0"/>
      <w:marRight w:val="0"/>
      <w:marTop w:val="0"/>
      <w:marBottom w:val="0"/>
      <w:divBdr>
        <w:top w:val="none" w:sz="0" w:space="0" w:color="auto"/>
        <w:left w:val="none" w:sz="0" w:space="0" w:color="auto"/>
        <w:bottom w:val="none" w:sz="0" w:space="0" w:color="auto"/>
        <w:right w:val="none" w:sz="0" w:space="0" w:color="auto"/>
      </w:divBdr>
    </w:div>
    <w:div w:id="3849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58B4-8B73-4672-953E-475742F5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4913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Reka Schweizer Reisekasse</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Scheidegger Julia</dc:creator>
  <cp:lastModifiedBy>Scheidegger Julia</cp:lastModifiedBy>
  <cp:revision>3</cp:revision>
  <cp:lastPrinted>2017-04-19T12:37:00Z</cp:lastPrinted>
  <dcterms:created xsi:type="dcterms:W3CDTF">2017-04-19T12:48:00Z</dcterms:created>
  <dcterms:modified xsi:type="dcterms:W3CDTF">2017-04-19T13:46:00Z</dcterms:modified>
</cp:coreProperties>
</file>